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EDF68" w14:textId="77777777" w:rsidR="00656E4C" w:rsidRPr="007A76DD" w:rsidRDefault="00A80E68" w:rsidP="000C2F6E">
      <w:pPr>
        <w:tabs>
          <w:tab w:val="left" w:pos="993"/>
        </w:tabs>
        <w:contextualSpacing/>
        <w:jc w:val="center"/>
        <w:rPr>
          <w:b/>
          <w:sz w:val="22"/>
          <w:szCs w:val="22"/>
        </w:rPr>
      </w:pPr>
      <w:r w:rsidRPr="007A76DD">
        <w:rPr>
          <w:b/>
          <w:sz w:val="22"/>
          <w:szCs w:val="22"/>
        </w:rPr>
        <w:t xml:space="preserve">ТЕХНИЧЕСКОЕ ЗАДАНИЕ </w:t>
      </w:r>
    </w:p>
    <w:p w14:paraId="5AF758AD" w14:textId="59930154" w:rsidR="001724D1" w:rsidRPr="007A76DD" w:rsidRDefault="008032B8" w:rsidP="008032B8">
      <w:pPr>
        <w:spacing w:line="276" w:lineRule="auto"/>
        <w:ind w:left="709" w:hanging="1"/>
        <w:jc w:val="center"/>
        <w:outlineLvl w:val="0"/>
        <w:rPr>
          <w:b/>
          <w:sz w:val="22"/>
          <w:szCs w:val="22"/>
        </w:rPr>
      </w:pPr>
      <w:r>
        <w:rPr>
          <w:b/>
          <w:sz w:val="22"/>
          <w:szCs w:val="22"/>
        </w:rPr>
        <w:t xml:space="preserve">на выбор </w:t>
      </w:r>
      <w:r w:rsidR="00625442">
        <w:rPr>
          <w:b/>
          <w:sz w:val="22"/>
          <w:szCs w:val="22"/>
        </w:rPr>
        <w:t xml:space="preserve">исполнителя </w:t>
      </w:r>
      <w:r>
        <w:rPr>
          <w:b/>
          <w:sz w:val="22"/>
          <w:szCs w:val="22"/>
        </w:rPr>
        <w:t>по оказанию услуг по проведению негосударственной экспертизы</w:t>
      </w:r>
      <w:r w:rsidR="00625442">
        <w:rPr>
          <w:b/>
          <w:sz w:val="22"/>
          <w:szCs w:val="22"/>
        </w:rPr>
        <w:t xml:space="preserve"> </w:t>
      </w:r>
      <w:r w:rsidR="00427DC1" w:rsidRPr="007A76DD">
        <w:rPr>
          <w:b/>
          <w:sz w:val="22"/>
          <w:szCs w:val="22"/>
        </w:rPr>
        <w:t>и результатов и</w:t>
      </w:r>
      <w:r w:rsidR="00B071AA">
        <w:rPr>
          <w:b/>
          <w:sz w:val="22"/>
          <w:szCs w:val="22"/>
        </w:rPr>
        <w:t xml:space="preserve">нженерных изысканий по объектам </w:t>
      </w:r>
      <w:r w:rsidR="00B071AA" w:rsidRPr="00B071AA">
        <w:rPr>
          <w:b/>
          <w:sz w:val="22"/>
          <w:szCs w:val="22"/>
        </w:rPr>
        <w:t xml:space="preserve">9 и 15 корпус с подземными автостоянками. </w:t>
      </w:r>
      <w:r w:rsidR="006329E2" w:rsidRPr="007A76DD">
        <w:rPr>
          <w:b/>
          <w:sz w:val="22"/>
          <w:szCs w:val="22"/>
        </w:rPr>
        <w:t xml:space="preserve"> </w:t>
      </w:r>
      <w:r w:rsidR="00943CE2">
        <w:rPr>
          <w:b/>
          <w:sz w:val="22"/>
          <w:szCs w:val="22"/>
        </w:rPr>
        <w:t>«</w:t>
      </w:r>
      <w:r w:rsidR="00943CE2" w:rsidRPr="00B071AA">
        <w:rPr>
          <w:b/>
          <w:sz w:val="22"/>
          <w:szCs w:val="22"/>
        </w:rPr>
        <w:t>Комплексная жилая застройка с объектами социальной, инженерной инфраструктуры. 1 очередь строительства» по адресу: Московская область, городской округ Красногорск, вблизи п. Нахабино</w:t>
      </w:r>
      <w:r w:rsidR="00B071AA" w:rsidRPr="00B071AA">
        <w:rPr>
          <w:b/>
          <w:sz w:val="22"/>
          <w:szCs w:val="22"/>
        </w:rPr>
        <w:t>»</w:t>
      </w:r>
    </w:p>
    <w:p w14:paraId="6AB60D22" w14:textId="6522B634" w:rsidR="001724D1" w:rsidRPr="006329E2" w:rsidRDefault="001724D1" w:rsidP="000C2F6E">
      <w:pPr>
        <w:tabs>
          <w:tab w:val="left" w:pos="993"/>
        </w:tabs>
        <w:contextualSpacing/>
        <w:jc w:val="center"/>
        <w:rPr>
          <w:sz w:val="22"/>
          <w:szCs w:val="22"/>
        </w:rPr>
      </w:pPr>
    </w:p>
    <w:tbl>
      <w:tblPr>
        <w:tblStyle w:val="afd"/>
        <w:tblW w:w="0" w:type="auto"/>
        <w:tblLook w:val="04A0" w:firstRow="1" w:lastRow="0" w:firstColumn="1" w:lastColumn="0" w:noHBand="0" w:noVBand="1"/>
      </w:tblPr>
      <w:tblGrid>
        <w:gridCol w:w="752"/>
        <w:gridCol w:w="2220"/>
        <w:gridCol w:w="6563"/>
      </w:tblGrid>
      <w:tr w:rsidR="001724D1" w:rsidRPr="006329E2" w14:paraId="713A2CDD" w14:textId="77777777" w:rsidTr="006D2DA2">
        <w:trPr>
          <w:trHeight w:val="432"/>
        </w:trPr>
        <w:tc>
          <w:tcPr>
            <w:tcW w:w="752" w:type="dxa"/>
            <w:vAlign w:val="center"/>
          </w:tcPr>
          <w:p w14:paraId="5D2FB8D7" w14:textId="5D5ECD68" w:rsidR="001724D1" w:rsidRPr="003C1E36" w:rsidRDefault="001724D1" w:rsidP="003C1E36">
            <w:pPr>
              <w:tabs>
                <w:tab w:val="left" w:pos="993"/>
              </w:tabs>
              <w:contextualSpacing/>
              <w:jc w:val="center"/>
              <w:rPr>
                <w:b/>
                <w:sz w:val="22"/>
                <w:szCs w:val="22"/>
              </w:rPr>
            </w:pPr>
            <w:r w:rsidRPr="003C1E36">
              <w:rPr>
                <w:b/>
                <w:sz w:val="22"/>
                <w:szCs w:val="22"/>
              </w:rPr>
              <w:t>№п/п</w:t>
            </w:r>
          </w:p>
        </w:tc>
        <w:tc>
          <w:tcPr>
            <w:tcW w:w="2220" w:type="dxa"/>
            <w:vAlign w:val="center"/>
          </w:tcPr>
          <w:p w14:paraId="0AD2E946" w14:textId="385A9525" w:rsidR="001724D1" w:rsidRPr="003C1E36" w:rsidRDefault="001724D1" w:rsidP="003C1E36">
            <w:pPr>
              <w:tabs>
                <w:tab w:val="left" w:pos="993"/>
              </w:tabs>
              <w:contextualSpacing/>
              <w:jc w:val="center"/>
              <w:rPr>
                <w:b/>
                <w:sz w:val="22"/>
                <w:szCs w:val="22"/>
              </w:rPr>
            </w:pPr>
            <w:r w:rsidRPr="003C1E36">
              <w:rPr>
                <w:b/>
                <w:sz w:val="22"/>
                <w:szCs w:val="22"/>
              </w:rPr>
              <w:t>Наименование данных</w:t>
            </w:r>
          </w:p>
        </w:tc>
        <w:tc>
          <w:tcPr>
            <w:tcW w:w="6563" w:type="dxa"/>
            <w:vAlign w:val="center"/>
          </w:tcPr>
          <w:p w14:paraId="584BDBC0" w14:textId="74AD0B99" w:rsidR="001724D1" w:rsidRPr="003C1E36" w:rsidRDefault="001724D1" w:rsidP="003C1E36">
            <w:pPr>
              <w:tabs>
                <w:tab w:val="left" w:pos="993"/>
              </w:tabs>
              <w:contextualSpacing/>
              <w:jc w:val="center"/>
              <w:rPr>
                <w:b/>
                <w:sz w:val="22"/>
                <w:szCs w:val="22"/>
              </w:rPr>
            </w:pPr>
            <w:r w:rsidRPr="003C1E36">
              <w:rPr>
                <w:b/>
                <w:sz w:val="22"/>
                <w:szCs w:val="22"/>
              </w:rPr>
              <w:t>Содержание данных</w:t>
            </w:r>
          </w:p>
        </w:tc>
      </w:tr>
      <w:tr w:rsidR="001724D1" w:rsidRPr="006329E2" w14:paraId="15C62988" w14:textId="77777777" w:rsidTr="006D2DA2">
        <w:tc>
          <w:tcPr>
            <w:tcW w:w="752" w:type="dxa"/>
          </w:tcPr>
          <w:p w14:paraId="5FD80B80" w14:textId="19BAE3F2" w:rsidR="001724D1" w:rsidRPr="006329E2" w:rsidRDefault="00226E60" w:rsidP="000C2F6E">
            <w:pPr>
              <w:tabs>
                <w:tab w:val="left" w:pos="993"/>
              </w:tabs>
              <w:contextualSpacing/>
              <w:jc w:val="center"/>
              <w:rPr>
                <w:sz w:val="22"/>
                <w:szCs w:val="22"/>
              </w:rPr>
            </w:pPr>
            <w:r w:rsidRPr="006329E2">
              <w:rPr>
                <w:sz w:val="22"/>
                <w:szCs w:val="22"/>
              </w:rPr>
              <w:t>1</w:t>
            </w:r>
          </w:p>
        </w:tc>
        <w:tc>
          <w:tcPr>
            <w:tcW w:w="2220" w:type="dxa"/>
          </w:tcPr>
          <w:p w14:paraId="7E3E1905" w14:textId="414756BC" w:rsidR="001724D1" w:rsidRPr="006329E2" w:rsidRDefault="001724D1" w:rsidP="002D3A22">
            <w:pPr>
              <w:tabs>
                <w:tab w:val="left" w:pos="993"/>
              </w:tabs>
              <w:contextualSpacing/>
              <w:jc w:val="both"/>
              <w:rPr>
                <w:sz w:val="22"/>
                <w:szCs w:val="22"/>
              </w:rPr>
            </w:pPr>
            <w:r w:rsidRPr="006329E2">
              <w:rPr>
                <w:sz w:val="22"/>
                <w:szCs w:val="22"/>
              </w:rPr>
              <w:t>Заказчик</w:t>
            </w:r>
          </w:p>
        </w:tc>
        <w:tc>
          <w:tcPr>
            <w:tcW w:w="6563" w:type="dxa"/>
          </w:tcPr>
          <w:p w14:paraId="2F52C7C2" w14:textId="612A566C" w:rsidR="001724D1" w:rsidRPr="006329E2" w:rsidRDefault="00B071AA" w:rsidP="002D3A22">
            <w:pPr>
              <w:tabs>
                <w:tab w:val="left" w:pos="993"/>
              </w:tabs>
              <w:contextualSpacing/>
              <w:jc w:val="both"/>
              <w:rPr>
                <w:sz w:val="22"/>
                <w:szCs w:val="22"/>
              </w:rPr>
            </w:pPr>
            <w:r>
              <w:rPr>
                <w:sz w:val="22"/>
                <w:szCs w:val="22"/>
              </w:rPr>
              <w:t>ООО СЗ «РКС- Нахабино» в лице ООО «</w:t>
            </w:r>
            <w:r w:rsidRPr="00B071AA">
              <w:rPr>
                <w:sz w:val="22"/>
                <w:szCs w:val="22"/>
              </w:rPr>
              <w:t>«РКС-Москва»</w:t>
            </w:r>
          </w:p>
        </w:tc>
      </w:tr>
      <w:tr w:rsidR="001724D1" w:rsidRPr="006329E2" w14:paraId="0E7122CE" w14:textId="77777777" w:rsidTr="006D2DA2">
        <w:tc>
          <w:tcPr>
            <w:tcW w:w="752" w:type="dxa"/>
          </w:tcPr>
          <w:p w14:paraId="6E3407E4" w14:textId="31C77E93" w:rsidR="001724D1" w:rsidRPr="006329E2" w:rsidRDefault="00226E60" w:rsidP="000C2F6E">
            <w:pPr>
              <w:tabs>
                <w:tab w:val="left" w:pos="993"/>
              </w:tabs>
              <w:contextualSpacing/>
              <w:jc w:val="center"/>
              <w:rPr>
                <w:sz w:val="22"/>
                <w:szCs w:val="22"/>
              </w:rPr>
            </w:pPr>
            <w:r w:rsidRPr="006329E2">
              <w:rPr>
                <w:sz w:val="22"/>
                <w:szCs w:val="22"/>
              </w:rPr>
              <w:t>2</w:t>
            </w:r>
          </w:p>
        </w:tc>
        <w:tc>
          <w:tcPr>
            <w:tcW w:w="2220" w:type="dxa"/>
          </w:tcPr>
          <w:p w14:paraId="5D1FAC97" w14:textId="274838D4" w:rsidR="001724D1" w:rsidRPr="006329E2" w:rsidRDefault="001724D1" w:rsidP="002D3A22">
            <w:pPr>
              <w:tabs>
                <w:tab w:val="left" w:pos="993"/>
              </w:tabs>
              <w:contextualSpacing/>
              <w:jc w:val="both"/>
              <w:rPr>
                <w:sz w:val="22"/>
                <w:szCs w:val="22"/>
              </w:rPr>
            </w:pPr>
            <w:r w:rsidRPr="006329E2">
              <w:rPr>
                <w:sz w:val="22"/>
                <w:szCs w:val="22"/>
              </w:rPr>
              <w:t>Вид работ</w:t>
            </w:r>
          </w:p>
        </w:tc>
        <w:tc>
          <w:tcPr>
            <w:tcW w:w="6563" w:type="dxa"/>
          </w:tcPr>
          <w:p w14:paraId="232CF2F3" w14:textId="118E8B4A" w:rsidR="001724D1" w:rsidRPr="006329E2" w:rsidRDefault="00427DC1" w:rsidP="002D3A22">
            <w:pPr>
              <w:tabs>
                <w:tab w:val="left" w:pos="993"/>
              </w:tabs>
              <w:contextualSpacing/>
              <w:jc w:val="both"/>
              <w:rPr>
                <w:sz w:val="22"/>
                <w:szCs w:val="22"/>
              </w:rPr>
            </w:pPr>
            <w:r w:rsidRPr="006329E2">
              <w:rPr>
                <w:sz w:val="22"/>
                <w:szCs w:val="22"/>
              </w:rPr>
              <w:t>Негосударственная экспертиза проектной документации и р</w:t>
            </w:r>
            <w:r w:rsidR="00B071AA">
              <w:rPr>
                <w:sz w:val="22"/>
                <w:szCs w:val="22"/>
              </w:rPr>
              <w:t>езультатов инженерных изысканий</w:t>
            </w:r>
            <w:r w:rsidR="005033A3">
              <w:rPr>
                <w:sz w:val="22"/>
                <w:szCs w:val="22"/>
              </w:rPr>
              <w:t xml:space="preserve"> без смет.</w:t>
            </w:r>
          </w:p>
        </w:tc>
      </w:tr>
      <w:tr w:rsidR="001724D1" w:rsidRPr="006329E2" w14:paraId="2E29FE79" w14:textId="77777777" w:rsidTr="006D2DA2">
        <w:tc>
          <w:tcPr>
            <w:tcW w:w="752" w:type="dxa"/>
          </w:tcPr>
          <w:p w14:paraId="2550FA1A" w14:textId="4D4FA811" w:rsidR="001724D1" w:rsidRPr="006329E2" w:rsidRDefault="00226E60" w:rsidP="000C2F6E">
            <w:pPr>
              <w:tabs>
                <w:tab w:val="left" w:pos="993"/>
              </w:tabs>
              <w:contextualSpacing/>
              <w:jc w:val="center"/>
              <w:rPr>
                <w:sz w:val="22"/>
                <w:szCs w:val="22"/>
              </w:rPr>
            </w:pPr>
            <w:r w:rsidRPr="006329E2">
              <w:rPr>
                <w:sz w:val="22"/>
                <w:szCs w:val="22"/>
              </w:rPr>
              <w:t>3</w:t>
            </w:r>
          </w:p>
        </w:tc>
        <w:tc>
          <w:tcPr>
            <w:tcW w:w="2220" w:type="dxa"/>
          </w:tcPr>
          <w:p w14:paraId="2E9772F1" w14:textId="6183503C" w:rsidR="001724D1" w:rsidRPr="006329E2" w:rsidRDefault="001724D1" w:rsidP="002D3A22">
            <w:pPr>
              <w:tabs>
                <w:tab w:val="left" w:pos="993"/>
              </w:tabs>
              <w:contextualSpacing/>
              <w:jc w:val="both"/>
              <w:rPr>
                <w:sz w:val="22"/>
                <w:szCs w:val="22"/>
              </w:rPr>
            </w:pPr>
            <w:r w:rsidRPr="006329E2">
              <w:rPr>
                <w:sz w:val="22"/>
                <w:szCs w:val="22"/>
              </w:rPr>
              <w:t>Место расположение объекта</w:t>
            </w:r>
          </w:p>
        </w:tc>
        <w:tc>
          <w:tcPr>
            <w:tcW w:w="6563" w:type="dxa"/>
          </w:tcPr>
          <w:p w14:paraId="03214393" w14:textId="097B73A9" w:rsidR="001724D1" w:rsidRPr="006329E2" w:rsidRDefault="00B071AA" w:rsidP="005033A3">
            <w:pPr>
              <w:tabs>
                <w:tab w:val="left" w:pos="993"/>
              </w:tabs>
              <w:contextualSpacing/>
              <w:jc w:val="both"/>
              <w:rPr>
                <w:sz w:val="22"/>
                <w:szCs w:val="22"/>
              </w:rPr>
            </w:pPr>
            <w:r w:rsidRPr="00B071AA">
              <w:rPr>
                <w:sz w:val="22"/>
                <w:szCs w:val="22"/>
              </w:rPr>
              <w:t xml:space="preserve">Московская область, городской округ </w:t>
            </w:r>
            <w:r w:rsidR="004F4817">
              <w:rPr>
                <w:sz w:val="22"/>
                <w:szCs w:val="22"/>
              </w:rPr>
              <w:t xml:space="preserve">Красногорск, вблизи п. Нахабино, кадастровый номер </w:t>
            </w:r>
            <w:r w:rsidR="005033A3">
              <w:rPr>
                <w:sz w:val="22"/>
                <w:szCs w:val="22"/>
              </w:rPr>
              <w:t>земельного участка</w:t>
            </w:r>
            <w:r w:rsidR="005033A3" w:rsidRPr="005033A3">
              <w:rPr>
                <w:sz w:val="22"/>
                <w:szCs w:val="22"/>
              </w:rPr>
              <w:t xml:space="preserve"> </w:t>
            </w:r>
            <w:r w:rsidR="005033A3">
              <w:rPr>
                <w:sz w:val="22"/>
                <w:szCs w:val="22"/>
              </w:rPr>
              <w:t>50:11:0030102:15</w:t>
            </w:r>
          </w:p>
        </w:tc>
      </w:tr>
      <w:tr w:rsidR="005033A3" w:rsidRPr="006329E2" w14:paraId="61A672D1" w14:textId="77777777" w:rsidTr="006D2DA2">
        <w:tc>
          <w:tcPr>
            <w:tcW w:w="752" w:type="dxa"/>
          </w:tcPr>
          <w:p w14:paraId="48D6FE94" w14:textId="498F94A4" w:rsidR="005033A3" w:rsidRDefault="005033A3" w:rsidP="000C2F6E">
            <w:pPr>
              <w:tabs>
                <w:tab w:val="left" w:pos="993"/>
              </w:tabs>
              <w:contextualSpacing/>
              <w:jc w:val="center"/>
              <w:rPr>
                <w:sz w:val="22"/>
                <w:szCs w:val="22"/>
              </w:rPr>
            </w:pPr>
            <w:r>
              <w:rPr>
                <w:sz w:val="22"/>
                <w:szCs w:val="22"/>
              </w:rPr>
              <w:t>4</w:t>
            </w:r>
          </w:p>
        </w:tc>
        <w:tc>
          <w:tcPr>
            <w:tcW w:w="2220" w:type="dxa"/>
          </w:tcPr>
          <w:p w14:paraId="7AF146A2" w14:textId="08425F7F" w:rsidR="005033A3" w:rsidRPr="005033A3" w:rsidRDefault="005033A3" w:rsidP="005033A3">
            <w:pPr>
              <w:tabs>
                <w:tab w:val="left" w:pos="993"/>
              </w:tabs>
              <w:contextualSpacing/>
              <w:jc w:val="both"/>
              <w:rPr>
                <w:sz w:val="22"/>
                <w:szCs w:val="22"/>
              </w:rPr>
            </w:pPr>
            <w:r w:rsidRPr="005033A3">
              <w:rPr>
                <w:sz w:val="22"/>
                <w:szCs w:val="22"/>
              </w:rPr>
              <w:t xml:space="preserve">Проектная организация </w:t>
            </w:r>
          </w:p>
        </w:tc>
        <w:tc>
          <w:tcPr>
            <w:tcW w:w="6563" w:type="dxa"/>
          </w:tcPr>
          <w:p w14:paraId="152FB103" w14:textId="5FDBD5C1" w:rsidR="005033A3" w:rsidRPr="00974ECF" w:rsidRDefault="005033A3" w:rsidP="005033A3">
            <w:pPr>
              <w:tabs>
                <w:tab w:val="left" w:pos="993"/>
              </w:tabs>
              <w:contextualSpacing/>
              <w:jc w:val="both"/>
              <w:rPr>
                <w:sz w:val="22"/>
                <w:szCs w:val="22"/>
              </w:rPr>
            </w:pPr>
            <w:r>
              <w:rPr>
                <w:sz w:val="22"/>
                <w:szCs w:val="22"/>
              </w:rPr>
              <w:t>ООО «МИКАЗ»</w:t>
            </w:r>
          </w:p>
        </w:tc>
      </w:tr>
      <w:tr w:rsidR="00974ECF" w:rsidRPr="006329E2" w14:paraId="6116C565" w14:textId="77777777" w:rsidTr="006D2DA2">
        <w:tc>
          <w:tcPr>
            <w:tcW w:w="752" w:type="dxa"/>
          </w:tcPr>
          <w:p w14:paraId="7BD55E07" w14:textId="4827AD81" w:rsidR="00974ECF" w:rsidRPr="006329E2" w:rsidRDefault="005033A3" w:rsidP="000C2F6E">
            <w:pPr>
              <w:tabs>
                <w:tab w:val="left" w:pos="993"/>
              </w:tabs>
              <w:contextualSpacing/>
              <w:jc w:val="center"/>
              <w:rPr>
                <w:sz w:val="22"/>
                <w:szCs w:val="22"/>
              </w:rPr>
            </w:pPr>
            <w:r>
              <w:rPr>
                <w:sz w:val="22"/>
                <w:szCs w:val="22"/>
              </w:rPr>
              <w:t>5</w:t>
            </w:r>
          </w:p>
        </w:tc>
        <w:tc>
          <w:tcPr>
            <w:tcW w:w="2220" w:type="dxa"/>
          </w:tcPr>
          <w:p w14:paraId="43852ED9" w14:textId="2C6BDEF7" w:rsidR="00974ECF" w:rsidRPr="006C7FEE" w:rsidRDefault="00974ECF" w:rsidP="006C7FEE">
            <w:pPr>
              <w:pStyle w:val="aff4"/>
              <w:jc w:val="both"/>
            </w:pPr>
            <w:r>
              <w:t xml:space="preserve">Исполнитель </w:t>
            </w:r>
          </w:p>
        </w:tc>
        <w:tc>
          <w:tcPr>
            <w:tcW w:w="6563" w:type="dxa"/>
          </w:tcPr>
          <w:p w14:paraId="676321DB" w14:textId="3D226B15" w:rsidR="00974ECF" w:rsidRPr="006C7FEE" w:rsidRDefault="00974ECF" w:rsidP="006C7FEE">
            <w:pPr>
              <w:tabs>
                <w:tab w:val="left" w:pos="993"/>
              </w:tabs>
              <w:contextualSpacing/>
              <w:jc w:val="both"/>
              <w:rPr>
                <w:b/>
                <w:sz w:val="22"/>
                <w:szCs w:val="22"/>
              </w:rPr>
            </w:pPr>
            <w:r w:rsidRPr="00974ECF">
              <w:rPr>
                <w:sz w:val="22"/>
                <w:szCs w:val="22"/>
              </w:rPr>
              <w:t>По результатам тендера</w:t>
            </w:r>
            <w:r>
              <w:rPr>
                <w:b/>
                <w:sz w:val="22"/>
                <w:szCs w:val="22"/>
              </w:rPr>
              <w:t xml:space="preserve"> </w:t>
            </w:r>
          </w:p>
        </w:tc>
      </w:tr>
      <w:tr w:rsidR="001724D1" w:rsidRPr="006329E2" w14:paraId="0C358642" w14:textId="77777777" w:rsidTr="006D2DA2">
        <w:tc>
          <w:tcPr>
            <w:tcW w:w="752" w:type="dxa"/>
          </w:tcPr>
          <w:p w14:paraId="1C1437E9" w14:textId="5536BE55" w:rsidR="001724D1" w:rsidRPr="006329E2" w:rsidRDefault="005033A3" w:rsidP="000C2F6E">
            <w:pPr>
              <w:tabs>
                <w:tab w:val="left" w:pos="993"/>
              </w:tabs>
              <w:contextualSpacing/>
              <w:jc w:val="center"/>
              <w:rPr>
                <w:sz w:val="22"/>
                <w:szCs w:val="22"/>
              </w:rPr>
            </w:pPr>
            <w:r>
              <w:rPr>
                <w:sz w:val="22"/>
                <w:szCs w:val="22"/>
              </w:rPr>
              <w:t>6</w:t>
            </w:r>
          </w:p>
        </w:tc>
        <w:tc>
          <w:tcPr>
            <w:tcW w:w="2220" w:type="dxa"/>
          </w:tcPr>
          <w:p w14:paraId="4EB1A8DB" w14:textId="111C1FA9" w:rsidR="001724D1" w:rsidRPr="006C7FEE" w:rsidRDefault="006C7FEE" w:rsidP="006C7FEE">
            <w:pPr>
              <w:pStyle w:val="aff4"/>
              <w:jc w:val="both"/>
            </w:pPr>
            <w:proofErr w:type="spellStart"/>
            <w:r w:rsidRPr="006C7FEE">
              <w:t>Этапность</w:t>
            </w:r>
            <w:proofErr w:type="spellEnd"/>
            <w:r w:rsidRPr="006C7FEE">
              <w:t xml:space="preserve"> экспертизы</w:t>
            </w:r>
          </w:p>
        </w:tc>
        <w:tc>
          <w:tcPr>
            <w:tcW w:w="6563" w:type="dxa"/>
          </w:tcPr>
          <w:p w14:paraId="681022D9" w14:textId="0CC68D52" w:rsidR="004F4817" w:rsidRDefault="004F4817" w:rsidP="006C7FEE">
            <w:pPr>
              <w:tabs>
                <w:tab w:val="left" w:pos="993"/>
              </w:tabs>
              <w:contextualSpacing/>
              <w:jc w:val="both"/>
              <w:rPr>
                <w:sz w:val="22"/>
                <w:szCs w:val="22"/>
              </w:rPr>
            </w:pPr>
            <w:r>
              <w:rPr>
                <w:b/>
                <w:sz w:val="22"/>
                <w:szCs w:val="22"/>
              </w:rPr>
              <w:t xml:space="preserve">В один этап </w:t>
            </w:r>
            <w:r w:rsidR="006C7FEE" w:rsidRPr="006C7FEE">
              <w:rPr>
                <w:sz w:val="22"/>
                <w:szCs w:val="22"/>
              </w:rPr>
              <w:t>– экспертиза Проектной документации с выдачей заключения Исполнителя, содержащее выводы о соответствии (положительное заключение), несоответствии (отрицательное заключение), представленной Заказчиком проектной документации или ее разделов требованиям технических регламентов и нормативных правовых актов,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радиационной и иной безопасности, результатам инженерных изысканий, требованиям к содержанию разделов проектной документации</w:t>
            </w:r>
            <w:r w:rsidR="005033A3">
              <w:rPr>
                <w:sz w:val="22"/>
                <w:szCs w:val="22"/>
              </w:rPr>
              <w:t>.</w:t>
            </w:r>
          </w:p>
          <w:p w14:paraId="38283451" w14:textId="3B890FF9" w:rsidR="005033A3" w:rsidRDefault="005033A3" w:rsidP="006C7FEE">
            <w:pPr>
              <w:tabs>
                <w:tab w:val="left" w:pos="993"/>
              </w:tabs>
              <w:contextualSpacing/>
              <w:jc w:val="both"/>
              <w:rPr>
                <w:sz w:val="22"/>
                <w:szCs w:val="22"/>
              </w:rPr>
            </w:pPr>
            <w:r>
              <w:rPr>
                <w:sz w:val="22"/>
                <w:szCs w:val="22"/>
              </w:rPr>
              <w:t xml:space="preserve">Возможность </w:t>
            </w:r>
          </w:p>
          <w:p w14:paraId="10A7B0C7" w14:textId="709F6415" w:rsidR="004C5A7E" w:rsidRPr="004C5A7E" w:rsidRDefault="004C5A7E" w:rsidP="006C7FEE">
            <w:pPr>
              <w:tabs>
                <w:tab w:val="left" w:pos="993"/>
              </w:tabs>
              <w:contextualSpacing/>
              <w:jc w:val="both"/>
              <w:rPr>
                <w:sz w:val="22"/>
                <w:szCs w:val="22"/>
              </w:rPr>
            </w:pPr>
            <w:r w:rsidRPr="004C5A7E">
              <w:rPr>
                <w:sz w:val="22"/>
                <w:szCs w:val="22"/>
              </w:rPr>
              <w:t>Заключение негосударственной э</w:t>
            </w:r>
            <w:bookmarkStart w:id="0" w:name="_GoBack"/>
            <w:bookmarkEnd w:id="0"/>
            <w:r w:rsidRPr="004C5A7E">
              <w:rPr>
                <w:sz w:val="22"/>
                <w:szCs w:val="22"/>
              </w:rPr>
              <w:t>кспертизы (положительное или отрицательное) выдается в 1-м экземпляре на бумажном носителе).</w:t>
            </w:r>
          </w:p>
        </w:tc>
      </w:tr>
      <w:tr w:rsidR="005033A3" w:rsidRPr="006329E2" w14:paraId="4C27F4A0" w14:textId="77777777" w:rsidTr="006D2DA2">
        <w:tc>
          <w:tcPr>
            <w:tcW w:w="752" w:type="dxa"/>
          </w:tcPr>
          <w:p w14:paraId="16C3EED3" w14:textId="33E08860" w:rsidR="005033A3" w:rsidRPr="006329E2" w:rsidRDefault="005033A3" w:rsidP="000C2F6E">
            <w:pPr>
              <w:tabs>
                <w:tab w:val="left" w:pos="993"/>
              </w:tabs>
              <w:contextualSpacing/>
              <w:jc w:val="center"/>
              <w:rPr>
                <w:sz w:val="22"/>
                <w:szCs w:val="22"/>
              </w:rPr>
            </w:pPr>
            <w:r>
              <w:rPr>
                <w:sz w:val="22"/>
                <w:szCs w:val="22"/>
              </w:rPr>
              <w:t>7</w:t>
            </w:r>
          </w:p>
        </w:tc>
        <w:tc>
          <w:tcPr>
            <w:tcW w:w="2220" w:type="dxa"/>
          </w:tcPr>
          <w:p w14:paraId="75ADD29D" w14:textId="38938880" w:rsidR="005033A3" w:rsidRPr="006329E2" w:rsidRDefault="005033A3" w:rsidP="002D3A22">
            <w:pPr>
              <w:tabs>
                <w:tab w:val="left" w:pos="993"/>
              </w:tabs>
              <w:contextualSpacing/>
              <w:jc w:val="both"/>
              <w:rPr>
                <w:sz w:val="22"/>
                <w:szCs w:val="22"/>
              </w:rPr>
            </w:pPr>
            <w:r>
              <w:rPr>
                <w:sz w:val="22"/>
                <w:szCs w:val="22"/>
              </w:rPr>
              <w:t xml:space="preserve">Дополнительные требования </w:t>
            </w:r>
          </w:p>
        </w:tc>
        <w:tc>
          <w:tcPr>
            <w:tcW w:w="6563" w:type="dxa"/>
          </w:tcPr>
          <w:p w14:paraId="2875D98E" w14:textId="4916DDA3" w:rsidR="005033A3" w:rsidRDefault="005033A3" w:rsidP="005033A3">
            <w:pPr>
              <w:tabs>
                <w:tab w:val="left" w:pos="993"/>
              </w:tabs>
              <w:contextualSpacing/>
              <w:jc w:val="both"/>
              <w:rPr>
                <w:sz w:val="22"/>
                <w:szCs w:val="22"/>
              </w:rPr>
            </w:pPr>
            <w:r>
              <w:rPr>
                <w:sz w:val="22"/>
                <w:szCs w:val="22"/>
              </w:rPr>
              <w:t>Работа в "параллель". Возможность загрузки и проверки</w:t>
            </w:r>
            <w:r w:rsidRPr="005033A3">
              <w:rPr>
                <w:sz w:val="22"/>
                <w:szCs w:val="22"/>
              </w:rPr>
              <w:t xml:space="preserve"> разделов в эк</w:t>
            </w:r>
            <w:r>
              <w:rPr>
                <w:sz w:val="22"/>
                <w:szCs w:val="22"/>
              </w:rPr>
              <w:t>спертизу по мере их готовности, включая результаты инженерных изысканий.</w:t>
            </w:r>
          </w:p>
        </w:tc>
      </w:tr>
      <w:tr w:rsidR="002D3A22" w:rsidRPr="006329E2" w14:paraId="24600A3E" w14:textId="77777777" w:rsidTr="006D2DA2">
        <w:tc>
          <w:tcPr>
            <w:tcW w:w="752" w:type="dxa"/>
          </w:tcPr>
          <w:p w14:paraId="196A2389" w14:textId="2D01564E" w:rsidR="002D3A22" w:rsidRPr="006329E2" w:rsidRDefault="005033A3" w:rsidP="000C2F6E">
            <w:pPr>
              <w:tabs>
                <w:tab w:val="left" w:pos="993"/>
              </w:tabs>
              <w:contextualSpacing/>
              <w:jc w:val="center"/>
              <w:rPr>
                <w:sz w:val="22"/>
                <w:szCs w:val="22"/>
              </w:rPr>
            </w:pPr>
            <w:r>
              <w:rPr>
                <w:sz w:val="22"/>
                <w:szCs w:val="22"/>
              </w:rPr>
              <w:t>8</w:t>
            </w:r>
          </w:p>
        </w:tc>
        <w:tc>
          <w:tcPr>
            <w:tcW w:w="2220" w:type="dxa"/>
          </w:tcPr>
          <w:p w14:paraId="17E20A4D" w14:textId="1552788B" w:rsidR="002D3A22" w:rsidRPr="006329E2" w:rsidRDefault="002D3A22" w:rsidP="002D3A22">
            <w:pPr>
              <w:tabs>
                <w:tab w:val="left" w:pos="993"/>
              </w:tabs>
              <w:contextualSpacing/>
              <w:jc w:val="both"/>
              <w:rPr>
                <w:sz w:val="22"/>
                <w:szCs w:val="22"/>
              </w:rPr>
            </w:pPr>
            <w:r w:rsidRPr="006329E2">
              <w:rPr>
                <w:sz w:val="22"/>
                <w:szCs w:val="22"/>
              </w:rPr>
              <w:t>Сроки исполнения</w:t>
            </w:r>
          </w:p>
        </w:tc>
        <w:tc>
          <w:tcPr>
            <w:tcW w:w="6563" w:type="dxa"/>
          </w:tcPr>
          <w:p w14:paraId="55B1E30B" w14:textId="4E3C96DD" w:rsidR="002D3A22" w:rsidRPr="00281826" w:rsidRDefault="003406CF" w:rsidP="003C1E36">
            <w:pPr>
              <w:tabs>
                <w:tab w:val="left" w:pos="993"/>
              </w:tabs>
              <w:contextualSpacing/>
              <w:jc w:val="both"/>
              <w:rPr>
                <w:sz w:val="22"/>
                <w:szCs w:val="22"/>
              </w:rPr>
            </w:pPr>
            <w:r>
              <w:rPr>
                <w:sz w:val="22"/>
                <w:szCs w:val="22"/>
              </w:rPr>
              <w:t xml:space="preserve">90 </w:t>
            </w:r>
            <w:r w:rsidRPr="003406CF">
              <w:rPr>
                <w:sz w:val="22"/>
                <w:szCs w:val="22"/>
                <w:highlight w:val="yellow"/>
              </w:rPr>
              <w:t>календарных</w:t>
            </w:r>
            <w:r w:rsidR="009B0851">
              <w:rPr>
                <w:sz w:val="22"/>
                <w:szCs w:val="22"/>
              </w:rPr>
              <w:t xml:space="preserve"> дней</w:t>
            </w:r>
            <w:r w:rsidR="00B071AA">
              <w:rPr>
                <w:sz w:val="22"/>
                <w:szCs w:val="22"/>
              </w:rPr>
              <w:t xml:space="preserve"> с момента оплаты </w:t>
            </w:r>
            <w:r w:rsidR="009B0851">
              <w:rPr>
                <w:sz w:val="22"/>
                <w:szCs w:val="22"/>
              </w:rPr>
              <w:t xml:space="preserve"> первого </w:t>
            </w:r>
            <w:r w:rsidR="00B071AA">
              <w:rPr>
                <w:sz w:val="22"/>
                <w:szCs w:val="22"/>
              </w:rPr>
              <w:t xml:space="preserve">авансового платежа </w:t>
            </w:r>
            <w:r w:rsidR="009B0851">
              <w:rPr>
                <w:sz w:val="22"/>
                <w:szCs w:val="22"/>
              </w:rPr>
              <w:t xml:space="preserve"> </w:t>
            </w:r>
            <w:r w:rsidR="006C7FEE">
              <w:rPr>
                <w:sz w:val="22"/>
                <w:szCs w:val="22"/>
              </w:rPr>
              <w:t xml:space="preserve">по 1 этапу </w:t>
            </w:r>
          </w:p>
        </w:tc>
      </w:tr>
      <w:tr w:rsidR="001724D1" w:rsidRPr="006329E2" w14:paraId="778CECFD" w14:textId="77777777" w:rsidTr="006D2DA2">
        <w:tc>
          <w:tcPr>
            <w:tcW w:w="752" w:type="dxa"/>
          </w:tcPr>
          <w:p w14:paraId="4EDDE009" w14:textId="512D9DBB" w:rsidR="001724D1" w:rsidRPr="006329E2" w:rsidRDefault="00042D49" w:rsidP="000C2F6E">
            <w:pPr>
              <w:tabs>
                <w:tab w:val="left" w:pos="993"/>
              </w:tabs>
              <w:contextualSpacing/>
              <w:jc w:val="center"/>
              <w:rPr>
                <w:sz w:val="22"/>
                <w:szCs w:val="22"/>
              </w:rPr>
            </w:pPr>
            <w:r>
              <w:rPr>
                <w:sz w:val="22"/>
                <w:szCs w:val="22"/>
              </w:rPr>
              <w:t>9</w:t>
            </w:r>
          </w:p>
        </w:tc>
        <w:tc>
          <w:tcPr>
            <w:tcW w:w="2220" w:type="dxa"/>
          </w:tcPr>
          <w:p w14:paraId="30E8A6E4" w14:textId="41A558DA" w:rsidR="001724D1" w:rsidRPr="006329E2" w:rsidRDefault="001724D1" w:rsidP="002D3A22">
            <w:pPr>
              <w:tabs>
                <w:tab w:val="left" w:pos="993"/>
              </w:tabs>
              <w:contextualSpacing/>
              <w:jc w:val="both"/>
              <w:rPr>
                <w:sz w:val="22"/>
                <w:szCs w:val="22"/>
              </w:rPr>
            </w:pPr>
            <w:r w:rsidRPr="006329E2">
              <w:rPr>
                <w:sz w:val="22"/>
                <w:szCs w:val="22"/>
              </w:rPr>
              <w:t>Гарантия</w:t>
            </w:r>
          </w:p>
        </w:tc>
        <w:tc>
          <w:tcPr>
            <w:tcW w:w="6563" w:type="dxa"/>
          </w:tcPr>
          <w:p w14:paraId="34C3DF70" w14:textId="4B18CAA3" w:rsidR="00124FB8" w:rsidRPr="006329E2" w:rsidRDefault="00C52DA8" w:rsidP="00C52DA8">
            <w:pPr>
              <w:tabs>
                <w:tab w:val="left" w:pos="993"/>
              </w:tabs>
              <w:contextualSpacing/>
              <w:jc w:val="both"/>
              <w:rPr>
                <w:sz w:val="22"/>
                <w:szCs w:val="22"/>
              </w:rPr>
            </w:pPr>
            <w:r w:rsidRPr="006329E2">
              <w:rPr>
                <w:sz w:val="22"/>
                <w:szCs w:val="22"/>
              </w:rPr>
              <w:t xml:space="preserve">Гарантийный срок на оказанные услуги составляет </w:t>
            </w:r>
            <w:r w:rsidR="004C5A7E">
              <w:rPr>
                <w:sz w:val="22"/>
                <w:szCs w:val="22"/>
              </w:rPr>
              <w:t>36</w:t>
            </w:r>
            <w:r w:rsidRPr="006329E2">
              <w:rPr>
                <w:sz w:val="22"/>
                <w:szCs w:val="22"/>
              </w:rPr>
              <w:t xml:space="preserve"> месяц</w:t>
            </w:r>
            <w:r w:rsidR="004C5A7E">
              <w:rPr>
                <w:sz w:val="22"/>
                <w:szCs w:val="22"/>
              </w:rPr>
              <w:t>ев</w:t>
            </w:r>
            <w:r w:rsidRPr="006329E2">
              <w:rPr>
                <w:sz w:val="22"/>
                <w:szCs w:val="22"/>
              </w:rPr>
              <w:t xml:space="preserve"> в объеме 100%</w:t>
            </w:r>
            <w:r w:rsidR="00281826">
              <w:rPr>
                <w:sz w:val="22"/>
                <w:szCs w:val="22"/>
              </w:rPr>
              <w:t>,</w:t>
            </w:r>
            <w:r w:rsidRPr="006329E2">
              <w:rPr>
                <w:sz w:val="22"/>
                <w:szCs w:val="22"/>
              </w:rPr>
              <w:t xml:space="preserve"> с даты подписания акта оказанных услуг</w:t>
            </w:r>
            <w:r w:rsidR="00B31A8A" w:rsidRPr="006329E2">
              <w:rPr>
                <w:sz w:val="22"/>
                <w:szCs w:val="22"/>
              </w:rPr>
              <w:t>, гарантией является</w:t>
            </w:r>
            <w:r w:rsidR="00124FB8" w:rsidRPr="006329E2">
              <w:rPr>
                <w:sz w:val="22"/>
                <w:szCs w:val="22"/>
              </w:rPr>
              <w:t>:</w:t>
            </w:r>
            <w:r w:rsidR="00B31A8A" w:rsidRPr="006329E2">
              <w:rPr>
                <w:sz w:val="22"/>
                <w:szCs w:val="22"/>
              </w:rPr>
              <w:t xml:space="preserve"> </w:t>
            </w:r>
          </w:p>
          <w:p w14:paraId="52594DE2" w14:textId="34FB3D4F" w:rsidR="001724D1" w:rsidRPr="006329E2" w:rsidRDefault="00C228AA" w:rsidP="00124FB8">
            <w:pPr>
              <w:pStyle w:val="a3"/>
              <w:numPr>
                <w:ilvl w:val="0"/>
                <w:numId w:val="34"/>
              </w:numPr>
              <w:tabs>
                <w:tab w:val="left" w:pos="993"/>
              </w:tabs>
              <w:contextualSpacing/>
              <w:jc w:val="both"/>
              <w:rPr>
                <w:sz w:val="22"/>
                <w:szCs w:val="22"/>
              </w:rPr>
            </w:pPr>
            <w:r w:rsidRPr="006329E2">
              <w:rPr>
                <w:sz w:val="22"/>
                <w:szCs w:val="22"/>
              </w:rPr>
              <w:t>Н</w:t>
            </w:r>
            <w:r w:rsidR="00B31A8A" w:rsidRPr="006329E2">
              <w:rPr>
                <w:sz w:val="22"/>
                <w:szCs w:val="22"/>
              </w:rPr>
              <w:t>адежность конструкций</w:t>
            </w:r>
            <w:r w:rsidR="00785E9B" w:rsidRPr="006329E2">
              <w:rPr>
                <w:sz w:val="22"/>
                <w:szCs w:val="22"/>
              </w:rPr>
              <w:t xml:space="preserve"> и отсутствие повреждений несущих конструкций</w:t>
            </w:r>
            <w:r w:rsidR="00B31A8A" w:rsidRPr="006329E2">
              <w:rPr>
                <w:sz w:val="22"/>
                <w:szCs w:val="22"/>
              </w:rPr>
              <w:t xml:space="preserve"> во время </w:t>
            </w:r>
            <w:proofErr w:type="gramStart"/>
            <w:r w:rsidR="00B31A8A" w:rsidRPr="006329E2">
              <w:rPr>
                <w:sz w:val="22"/>
                <w:szCs w:val="22"/>
              </w:rPr>
              <w:t xml:space="preserve">эксплуатации </w:t>
            </w:r>
            <w:r w:rsidR="00C52DA8" w:rsidRPr="006329E2">
              <w:rPr>
                <w:sz w:val="22"/>
                <w:szCs w:val="22"/>
              </w:rPr>
              <w:t xml:space="preserve"> </w:t>
            </w:r>
            <w:r w:rsidR="00B31A8A" w:rsidRPr="006329E2">
              <w:rPr>
                <w:sz w:val="22"/>
                <w:szCs w:val="22"/>
              </w:rPr>
              <w:t>цеха</w:t>
            </w:r>
            <w:proofErr w:type="gramEnd"/>
            <w:r w:rsidR="00B31A8A" w:rsidRPr="006329E2">
              <w:rPr>
                <w:sz w:val="22"/>
                <w:szCs w:val="22"/>
              </w:rPr>
              <w:t xml:space="preserve"> в течени</w:t>
            </w:r>
            <w:r w:rsidR="006329E2">
              <w:rPr>
                <w:sz w:val="22"/>
                <w:szCs w:val="22"/>
              </w:rPr>
              <w:t>е</w:t>
            </w:r>
            <w:r w:rsidR="00B31A8A" w:rsidRPr="006329E2">
              <w:rPr>
                <w:sz w:val="22"/>
                <w:szCs w:val="22"/>
              </w:rPr>
              <w:t xml:space="preserve"> гарантийного срока</w:t>
            </w:r>
            <w:r w:rsidR="00785E9B" w:rsidRPr="006329E2">
              <w:rPr>
                <w:sz w:val="22"/>
                <w:szCs w:val="22"/>
              </w:rPr>
              <w:t>.</w:t>
            </w:r>
          </w:p>
          <w:p w14:paraId="685748B3" w14:textId="5E3414E1" w:rsidR="00124FB8" w:rsidRPr="006329E2" w:rsidRDefault="00124FB8" w:rsidP="00124FB8">
            <w:pPr>
              <w:pStyle w:val="a3"/>
              <w:numPr>
                <w:ilvl w:val="0"/>
                <w:numId w:val="34"/>
              </w:numPr>
              <w:tabs>
                <w:tab w:val="left" w:pos="993"/>
              </w:tabs>
              <w:contextualSpacing/>
              <w:jc w:val="both"/>
              <w:rPr>
                <w:sz w:val="22"/>
                <w:szCs w:val="22"/>
              </w:rPr>
            </w:pPr>
            <w:r w:rsidRPr="006329E2">
              <w:rPr>
                <w:sz w:val="22"/>
                <w:szCs w:val="22"/>
              </w:rPr>
              <w:t>Отсутствие замечаний от надзорных организаций, орган</w:t>
            </w:r>
            <w:r w:rsidR="00C228AA" w:rsidRPr="006329E2">
              <w:rPr>
                <w:sz w:val="22"/>
                <w:szCs w:val="22"/>
              </w:rPr>
              <w:t>ов</w:t>
            </w:r>
            <w:r w:rsidRPr="006329E2">
              <w:rPr>
                <w:sz w:val="22"/>
                <w:szCs w:val="22"/>
              </w:rPr>
              <w:t xml:space="preserve"> местного самоуправления</w:t>
            </w:r>
            <w:r w:rsidR="00C228AA" w:rsidRPr="006329E2">
              <w:rPr>
                <w:sz w:val="22"/>
                <w:szCs w:val="22"/>
              </w:rPr>
              <w:t>,</w:t>
            </w:r>
            <w:r w:rsidRPr="006329E2">
              <w:rPr>
                <w:sz w:val="22"/>
                <w:szCs w:val="22"/>
              </w:rPr>
              <w:t xml:space="preserve"> к проектной документации</w:t>
            </w:r>
            <w:r w:rsidR="00C228AA" w:rsidRPr="006329E2">
              <w:rPr>
                <w:sz w:val="22"/>
                <w:szCs w:val="22"/>
              </w:rPr>
              <w:t xml:space="preserve"> и техническим решениям, выполненным в соответствии с проектной документацией, </w:t>
            </w:r>
            <w:r w:rsidRPr="006329E2">
              <w:rPr>
                <w:sz w:val="22"/>
                <w:szCs w:val="22"/>
              </w:rPr>
              <w:t xml:space="preserve"> во в</w:t>
            </w:r>
            <w:r w:rsidR="00281826">
              <w:rPr>
                <w:sz w:val="22"/>
                <w:szCs w:val="22"/>
              </w:rPr>
              <w:t>ремя эксплуатации цеха в течение</w:t>
            </w:r>
            <w:r w:rsidRPr="006329E2">
              <w:rPr>
                <w:sz w:val="22"/>
                <w:szCs w:val="22"/>
              </w:rPr>
              <w:t xml:space="preserve"> </w:t>
            </w:r>
            <w:r w:rsidR="00C228AA" w:rsidRPr="006329E2">
              <w:rPr>
                <w:sz w:val="22"/>
                <w:szCs w:val="22"/>
              </w:rPr>
              <w:t xml:space="preserve">всего </w:t>
            </w:r>
            <w:r w:rsidRPr="006329E2">
              <w:rPr>
                <w:sz w:val="22"/>
                <w:szCs w:val="22"/>
              </w:rPr>
              <w:t>гарантийного срока.</w:t>
            </w:r>
          </w:p>
        </w:tc>
      </w:tr>
      <w:tr w:rsidR="00785E9B" w:rsidRPr="006329E2" w14:paraId="1E72ECA3" w14:textId="77777777" w:rsidTr="006D2DA2">
        <w:tc>
          <w:tcPr>
            <w:tcW w:w="752" w:type="dxa"/>
          </w:tcPr>
          <w:p w14:paraId="4CE6BA25" w14:textId="3BFDE8E0" w:rsidR="00785E9B" w:rsidRPr="006329E2" w:rsidRDefault="00042D49" w:rsidP="000C2F6E">
            <w:pPr>
              <w:tabs>
                <w:tab w:val="left" w:pos="993"/>
              </w:tabs>
              <w:contextualSpacing/>
              <w:jc w:val="center"/>
              <w:rPr>
                <w:sz w:val="22"/>
                <w:szCs w:val="22"/>
              </w:rPr>
            </w:pPr>
            <w:r>
              <w:rPr>
                <w:sz w:val="22"/>
                <w:szCs w:val="22"/>
              </w:rPr>
              <w:t>10</w:t>
            </w:r>
          </w:p>
        </w:tc>
        <w:tc>
          <w:tcPr>
            <w:tcW w:w="2220" w:type="dxa"/>
          </w:tcPr>
          <w:p w14:paraId="4A800A50" w14:textId="1509EBD9" w:rsidR="00785E9B" w:rsidRPr="006329E2" w:rsidRDefault="00785E9B" w:rsidP="002D3A22">
            <w:pPr>
              <w:tabs>
                <w:tab w:val="left" w:pos="993"/>
              </w:tabs>
              <w:contextualSpacing/>
              <w:jc w:val="both"/>
              <w:rPr>
                <w:sz w:val="22"/>
                <w:szCs w:val="22"/>
              </w:rPr>
            </w:pPr>
            <w:r w:rsidRPr="006329E2">
              <w:rPr>
                <w:sz w:val="22"/>
                <w:szCs w:val="22"/>
              </w:rPr>
              <w:t>Объект негосударственной экспертизы</w:t>
            </w:r>
          </w:p>
        </w:tc>
        <w:tc>
          <w:tcPr>
            <w:tcW w:w="6563" w:type="dxa"/>
          </w:tcPr>
          <w:p w14:paraId="7F01B254" w14:textId="4E7A8E07" w:rsidR="00785E9B" w:rsidRPr="006329E2" w:rsidRDefault="00785E9B" w:rsidP="00785E9B">
            <w:pPr>
              <w:pStyle w:val="a3"/>
              <w:numPr>
                <w:ilvl w:val="0"/>
                <w:numId w:val="31"/>
              </w:numPr>
              <w:tabs>
                <w:tab w:val="left" w:pos="993"/>
              </w:tabs>
              <w:contextualSpacing/>
              <w:jc w:val="both"/>
              <w:rPr>
                <w:sz w:val="22"/>
                <w:szCs w:val="22"/>
              </w:rPr>
            </w:pPr>
            <w:r w:rsidRPr="006329E2">
              <w:rPr>
                <w:sz w:val="22"/>
                <w:szCs w:val="22"/>
              </w:rPr>
              <w:t>Результаты инженерных изысканий;</w:t>
            </w:r>
          </w:p>
          <w:p w14:paraId="2D1875FB" w14:textId="63B2163E" w:rsidR="00785E9B" w:rsidRPr="006329E2" w:rsidRDefault="00785E9B" w:rsidP="00785E9B">
            <w:pPr>
              <w:pStyle w:val="a3"/>
              <w:numPr>
                <w:ilvl w:val="0"/>
                <w:numId w:val="31"/>
              </w:numPr>
              <w:tabs>
                <w:tab w:val="left" w:pos="993"/>
              </w:tabs>
              <w:contextualSpacing/>
              <w:jc w:val="both"/>
              <w:rPr>
                <w:sz w:val="22"/>
                <w:szCs w:val="22"/>
              </w:rPr>
            </w:pPr>
            <w:r w:rsidRPr="006329E2">
              <w:rPr>
                <w:sz w:val="22"/>
                <w:szCs w:val="22"/>
              </w:rPr>
              <w:t>Проектная документация.</w:t>
            </w:r>
          </w:p>
        </w:tc>
      </w:tr>
      <w:tr w:rsidR="001724D1" w:rsidRPr="006329E2" w14:paraId="5FB7AC94" w14:textId="77777777" w:rsidTr="006D2DA2">
        <w:tc>
          <w:tcPr>
            <w:tcW w:w="752" w:type="dxa"/>
          </w:tcPr>
          <w:p w14:paraId="7C6C3BC8" w14:textId="1A35D5EB" w:rsidR="001724D1" w:rsidRPr="006329E2" w:rsidRDefault="00042D49" w:rsidP="000C2F6E">
            <w:pPr>
              <w:tabs>
                <w:tab w:val="left" w:pos="993"/>
              </w:tabs>
              <w:contextualSpacing/>
              <w:jc w:val="center"/>
              <w:rPr>
                <w:sz w:val="22"/>
                <w:szCs w:val="22"/>
              </w:rPr>
            </w:pPr>
            <w:r>
              <w:rPr>
                <w:sz w:val="22"/>
                <w:szCs w:val="22"/>
              </w:rPr>
              <w:t>11</w:t>
            </w:r>
          </w:p>
        </w:tc>
        <w:tc>
          <w:tcPr>
            <w:tcW w:w="2220" w:type="dxa"/>
          </w:tcPr>
          <w:p w14:paraId="5F3E757E" w14:textId="18EED63A" w:rsidR="001724D1" w:rsidRPr="006329E2" w:rsidRDefault="001724D1" w:rsidP="002D3A22">
            <w:pPr>
              <w:tabs>
                <w:tab w:val="left" w:pos="993"/>
              </w:tabs>
              <w:contextualSpacing/>
              <w:jc w:val="both"/>
              <w:rPr>
                <w:sz w:val="22"/>
                <w:szCs w:val="22"/>
              </w:rPr>
            </w:pPr>
            <w:r w:rsidRPr="006329E2">
              <w:rPr>
                <w:sz w:val="22"/>
                <w:szCs w:val="22"/>
              </w:rPr>
              <w:t>Основные требования и цель работ</w:t>
            </w:r>
          </w:p>
        </w:tc>
        <w:tc>
          <w:tcPr>
            <w:tcW w:w="6563" w:type="dxa"/>
          </w:tcPr>
          <w:p w14:paraId="70E357E8" w14:textId="77777777" w:rsidR="001724D1" w:rsidRPr="006329E2" w:rsidRDefault="00785E9B" w:rsidP="001724D1">
            <w:pPr>
              <w:tabs>
                <w:tab w:val="left" w:pos="993"/>
              </w:tabs>
              <w:contextualSpacing/>
              <w:jc w:val="both"/>
              <w:rPr>
                <w:sz w:val="22"/>
                <w:szCs w:val="22"/>
              </w:rPr>
            </w:pPr>
            <w:r w:rsidRPr="006329E2">
              <w:rPr>
                <w:sz w:val="22"/>
                <w:szCs w:val="22"/>
              </w:rPr>
              <w:t>Предметом негосударственной экспертизы результатов инженерных изысканий является оценка их соответствия:</w:t>
            </w:r>
          </w:p>
          <w:p w14:paraId="327AF81D" w14:textId="0DE1BED7" w:rsidR="00C0129A" w:rsidRPr="006329E2" w:rsidRDefault="00785E9B" w:rsidP="00C0129A">
            <w:pPr>
              <w:tabs>
                <w:tab w:val="left" w:pos="993"/>
              </w:tabs>
              <w:contextualSpacing/>
              <w:jc w:val="both"/>
              <w:rPr>
                <w:sz w:val="22"/>
                <w:szCs w:val="22"/>
              </w:rPr>
            </w:pPr>
            <w:r w:rsidRPr="006329E2">
              <w:rPr>
                <w:sz w:val="22"/>
                <w:szCs w:val="22"/>
              </w:rPr>
              <w:t>-</w:t>
            </w:r>
            <w:r w:rsidR="00C0129A" w:rsidRPr="006329E2">
              <w:rPr>
                <w:sz w:val="22"/>
                <w:szCs w:val="22"/>
              </w:rPr>
              <w:t xml:space="preserve"> Постановлению Правительства РФ от 19 января 2006 г. N 20</w:t>
            </w:r>
            <w:r w:rsidR="005912BB" w:rsidRPr="006329E2">
              <w:rPr>
                <w:sz w:val="22"/>
                <w:szCs w:val="22"/>
              </w:rPr>
              <w:t xml:space="preserve"> </w:t>
            </w:r>
            <w:r w:rsidR="00C0129A" w:rsidRPr="006329E2">
              <w:rPr>
                <w:sz w:val="22"/>
                <w:szCs w:val="22"/>
              </w:rPr>
              <w:t>"Об инженерных изысканиях для подготовки проектной документации, строительства, реконструкции объектов капитального строительства</w:t>
            </w:r>
            <w:r w:rsidR="005912BB" w:rsidRPr="006329E2">
              <w:rPr>
                <w:sz w:val="22"/>
                <w:szCs w:val="22"/>
              </w:rPr>
              <w:t>;</w:t>
            </w:r>
          </w:p>
          <w:p w14:paraId="3EE73AE1" w14:textId="77777777" w:rsidR="0029281B" w:rsidRPr="006329E2" w:rsidRDefault="0029281B" w:rsidP="00C0129A">
            <w:pPr>
              <w:tabs>
                <w:tab w:val="left" w:pos="993"/>
              </w:tabs>
              <w:contextualSpacing/>
              <w:jc w:val="both"/>
              <w:rPr>
                <w:bCs/>
                <w:color w:val="000000"/>
                <w:sz w:val="22"/>
                <w:szCs w:val="22"/>
              </w:rPr>
            </w:pPr>
            <w:r w:rsidRPr="006329E2">
              <w:rPr>
                <w:bCs/>
                <w:color w:val="000000"/>
                <w:sz w:val="22"/>
                <w:szCs w:val="22"/>
              </w:rPr>
              <w:lastRenderedPageBreak/>
              <w:t>Предметом негосударственной экспертизы проектной документации является оценка ее соответствия:</w:t>
            </w:r>
          </w:p>
          <w:p w14:paraId="5FE8CD76" w14:textId="7D5EB485" w:rsidR="0029281B" w:rsidRPr="006329E2" w:rsidRDefault="0029281B" w:rsidP="0029281B">
            <w:pPr>
              <w:tabs>
                <w:tab w:val="left" w:pos="993"/>
              </w:tabs>
              <w:contextualSpacing/>
              <w:jc w:val="both"/>
              <w:rPr>
                <w:bCs/>
                <w:color w:val="000000"/>
                <w:sz w:val="22"/>
                <w:szCs w:val="22"/>
              </w:rPr>
            </w:pPr>
            <w:r w:rsidRPr="006329E2">
              <w:rPr>
                <w:bCs/>
                <w:color w:val="000000"/>
                <w:sz w:val="22"/>
                <w:szCs w:val="22"/>
              </w:rPr>
              <w:t>- Постановлению Правительства Российской Федерации от 16 февраля 2008 года N 87</w:t>
            </w:r>
          </w:p>
          <w:p w14:paraId="0B75331E" w14:textId="77777777" w:rsidR="0029281B" w:rsidRPr="006329E2" w:rsidRDefault="0029281B" w:rsidP="0029281B">
            <w:pPr>
              <w:tabs>
                <w:tab w:val="left" w:pos="993"/>
              </w:tabs>
              <w:contextualSpacing/>
              <w:jc w:val="both"/>
              <w:rPr>
                <w:sz w:val="22"/>
                <w:szCs w:val="22"/>
              </w:rPr>
            </w:pPr>
            <w:r w:rsidRPr="006329E2">
              <w:rPr>
                <w:bCs/>
                <w:color w:val="000000"/>
                <w:sz w:val="22"/>
                <w:szCs w:val="22"/>
              </w:rPr>
              <w:t>«О составе разделов проектной документации и требованиях к их содержанию (с изменениями на 23 января 2016 года</w:t>
            </w:r>
            <w:r w:rsidRPr="006329E2">
              <w:rPr>
                <w:sz w:val="22"/>
                <w:szCs w:val="22"/>
              </w:rPr>
              <w:t xml:space="preserve"> </w:t>
            </w:r>
          </w:p>
          <w:p w14:paraId="61E2E328" w14:textId="4A30F388" w:rsidR="0029281B" w:rsidRPr="006329E2" w:rsidRDefault="0029281B" w:rsidP="0029281B">
            <w:pPr>
              <w:tabs>
                <w:tab w:val="left" w:pos="993"/>
              </w:tabs>
              <w:contextualSpacing/>
              <w:jc w:val="both"/>
              <w:rPr>
                <w:bCs/>
                <w:color w:val="000000"/>
                <w:sz w:val="22"/>
                <w:szCs w:val="22"/>
              </w:rPr>
            </w:pPr>
            <w:r w:rsidRPr="006329E2">
              <w:rPr>
                <w:bCs/>
                <w:color w:val="000000"/>
                <w:sz w:val="22"/>
                <w:szCs w:val="22"/>
              </w:rPr>
              <w:t>- Федеральному закону от 30.12.2009 N 384-ФЗ "Технический регламент о безопасности зданий и сооружений")</w:t>
            </w:r>
          </w:p>
          <w:p w14:paraId="258A05CE" w14:textId="7A056AAF" w:rsidR="0029281B" w:rsidRPr="006329E2" w:rsidRDefault="0029281B" w:rsidP="0029281B">
            <w:pPr>
              <w:tabs>
                <w:tab w:val="left" w:pos="993"/>
              </w:tabs>
              <w:contextualSpacing/>
              <w:jc w:val="both"/>
              <w:rPr>
                <w:bCs/>
                <w:color w:val="000000"/>
                <w:sz w:val="22"/>
                <w:szCs w:val="22"/>
              </w:rPr>
            </w:pPr>
            <w:r w:rsidRPr="006329E2">
              <w:rPr>
                <w:bCs/>
                <w:color w:val="000000"/>
                <w:sz w:val="22"/>
                <w:szCs w:val="22"/>
              </w:rPr>
              <w:t>- результатам инженерных изысканий;</w:t>
            </w:r>
          </w:p>
          <w:p w14:paraId="3B0D66AF" w14:textId="1AFA038C" w:rsidR="0029281B" w:rsidRPr="006329E2" w:rsidRDefault="0029281B" w:rsidP="0029281B">
            <w:pPr>
              <w:tabs>
                <w:tab w:val="left" w:pos="993"/>
              </w:tabs>
              <w:contextualSpacing/>
              <w:jc w:val="both"/>
              <w:rPr>
                <w:bCs/>
                <w:color w:val="000000"/>
                <w:sz w:val="22"/>
                <w:szCs w:val="22"/>
              </w:rPr>
            </w:pPr>
            <w:r w:rsidRPr="006329E2">
              <w:rPr>
                <w:bCs/>
                <w:color w:val="000000"/>
                <w:sz w:val="22"/>
                <w:szCs w:val="22"/>
              </w:rPr>
              <w:t>- градостроительным регламентам;</w:t>
            </w:r>
          </w:p>
          <w:p w14:paraId="0C291FEB" w14:textId="75E8A035" w:rsidR="0029281B" w:rsidRPr="006329E2" w:rsidRDefault="0029281B" w:rsidP="0029281B">
            <w:pPr>
              <w:tabs>
                <w:tab w:val="left" w:pos="993"/>
              </w:tabs>
              <w:contextualSpacing/>
              <w:jc w:val="both"/>
              <w:rPr>
                <w:bCs/>
                <w:color w:val="000000"/>
                <w:sz w:val="22"/>
                <w:szCs w:val="22"/>
              </w:rPr>
            </w:pPr>
            <w:r w:rsidRPr="006329E2">
              <w:rPr>
                <w:bCs/>
                <w:color w:val="000000"/>
                <w:sz w:val="22"/>
                <w:szCs w:val="22"/>
              </w:rPr>
              <w:t>- национальным стандартам Российской Федерации;</w:t>
            </w:r>
          </w:p>
          <w:p w14:paraId="20BA33C5" w14:textId="4076398B" w:rsidR="0029281B" w:rsidRPr="006329E2" w:rsidRDefault="0029281B" w:rsidP="0029281B">
            <w:pPr>
              <w:tabs>
                <w:tab w:val="left" w:pos="993"/>
              </w:tabs>
              <w:contextualSpacing/>
              <w:jc w:val="both"/>
              <w:rPr>
                <w:bCs/>
                <w:color w:val="000000"/>
                <w:sz w:val="22"/>
                <w:szCs w:val="22"/>
              </w:rPr>
            </w:pPr>
            <w:r w:rsidRPr="006329E2">
              <w:rPr>
                <w:bCs/>
                <w:color w:val="000000"/>
                <w:sz w:val="22"/>
                <w:szCs w:val="22"/>
              </w:rPr>
              <w:t>- требованиям технических регламентов Российской Федерации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w:t>
            </w:r>
          </w:p>
          <w:p w14:paraId="03A535F8" w14:textId="41AF9D05" w:rsidR="004C5A7E" w:rsidRDefault="001F5642" w:rsidP="001F5642">
            <w:pPr>
              <w:tabs>
                <w:tab w:val="left" w:pos="993"/>
              </w:tabs>
              <w:contextualSpacing/>
              <w:jc w:val="both"/>
              <w:rPr>
                <w:bCs/>
                <w:color w:val="000000"/>
                <w:sz w:val="22"/>
                <w:szCs w:val="22"/>
              </w:rPr>
            </w:pPr>
            <w:r w:rsidRPr="006329E2">
              <w:rPr>
                <w:bCs/>
                <w:color w:val="000000"/>
                <w:sz w:val="22"/>
                <w:szCs w:val="22"/>
              </w:rPr>
              <w:t>-</w:t>
            </w:r>
            <w:r w:rsidR="0029281B" w:rsidRPr="006329E2">
              <w:rPr>
                <w:bCs/>
                <w:color w:val="000000"/>
                <w:sz w:val="22"/>
                <w:szCs w:val="22"/>
              </w:rPr>
              <w:t xml:space="preserve"> требованиям законодательных актов Российской Федерации и нормативным техническим документам Российской Феде</w:t>
            </w:r>
            <w:r w:rsidR="004C5A7E">
              <w:rPr>
                <w:bCs/>
                <w:color w:val="000000"/>
                <w:sz w:val="22"/>
                <w:szCs w:val="22"/>
              </w:rPr>
              <w:t>рации в части, не противоречащим</w:t>
            </w:r>
            <w:r w:rsidR="0029281B" w:rsidRPr="006329E2">
              <w:rPr>
                <w:bCs/>
                <w:color w:val="000000"/>
                <w:sz w:val="22"/>
                <w:szCs w:val="22"/>
              </w:rPr>
              <w:t xml:space="preserve"> </w:t>
            </w:r>
            <w:r w:rsidR="004C5A7E">
              <w:rPr>
                <w:bCs/>
                <w:color w:val="000000"/>
                <w:sz w:val="22"/>
                <w:szCs w:val="22"/>
              </w:rPr>
              <w:t>Федеральному</w:t>
            </w:r>
            <w:r w:rsidRPr="006329E2">
              <w:rPr>
                <w:bCs/>
                <w:color w:val="000000"/>
                <w:sz w:val="22"/>
                <w:szCs w:val="22"/>
              </w:rPr>
              <w:t xml:space="preserve"> закон</w:t>
            </w:r>
            <w:r w:rsidR="004C5A7E">
              <w:rPr>
                <w:bCs/>
                <w:color w:val="000000"/>
                <w:sz w:val="22"/>
                <w:szCs w:val="22"/>
              </w:rPr>
              <w:t>у</w:t>
            </w:r>
            <w:r w:rsidRPr="006329E2">
              <w:rPr>
                <w:bCs/>
                <w:color w:val="000000"/>
                <w:sz w:val="22"/>
                <w:szCs w:val="22"/>
              </w:rPr>
              <w:t xml:space="preserve"> "О техническом регулиров</w:t>
            </w:r>
            <w:r w:rsidR="004C5A7E">
              <w:rPr>
                <w:bCs/>
                <w:color w:val="000000"/>
                <w:sz w:val="22"/>
                <w:szCs w:val="22"/>
              </w:rPr>
              <w:t xml:space="preserve">ании" от 27.12.2002 N 184-ФЗ и </w:t>
            </w:r>
            <w:r w:rsidRPr="006329E2">
              <w:rPr>
                <w:bCs/>
                <w:color w:val="000000"/>
                <w:sz w:val="22"/>
                <w:szCs w:val="22"/>
              </w:rPr>
              <w:t>"Градостроительный кодекс Российской Федерации" от 29.12.2004 N 190-ФЗ (ред. от 03.08.2018) (с изм. и доп., вступ. в силу с 01.09.2018)</w:t>
            </w:r>
            <w:r w:rsidR="004C5A7E">
              <w:rPr>
                <w:bCs/>
                <w:color w:val="000000"/>
                <w:sz w:val="22"/>
                <w:szCs w:val="22"/>
              </w:rPr>
              <w:t>;</w:t>
            </w:r>
          </w:p>
          <w:p w14:paraId="7A2E5D21" w14:textId="6ADDF94F" w:rsidR="00785E9B" w:rsidRPr="004C5A7E" w:rsidRDefault="004C5A7E" w:rsidP="001F5642">
            <w:pPr>
              <w:tabs>
                <w:tab w:val="left" w:pos="993"/>
              </w:tabs>
              <w:contextualSpacing/>
              <w:jc w:val="both"/>
              <w:rPr>
                <w:bCs/>
                <w:color w:val="000000"/>
                <w:sz w:val="22"/>
                <w:szCs w:val="22"/>
              </w:rPr>
            </w:pPr>
            <w:r>
              <w:rPr>
                <w:bCs/>
                <w:color w:val="000000"/>
                <w:sz w:val="22"/>
                <w:szCs w:val="22"/>
              </w:rPr>
              <w:t xml:space="preserve">- </w:t>
            </w:r>
            <w:r w:rsidRPr="006329E2">
              <w:rPr>
                <w:bCs/>
                <w:color w:val="000000"/>
                <w:sz w:val="22"/>
                <w:szCs w:val="22"/>
              </w:rPr>
              <w:t>требованиям технических регламентов Российской Федерации</w:t>
            </w:r>
            <w:r>
              <w:rPr>
                <w:bCs/>
                <w:color w:val="000000"/>
                <w:sz w:val="22"/>
                <w:szCs w:val="22"/>
              </w:rPr>
              <w:t xml:space="preserve"> в части, не противоречащим Федеральному</w:t>
            </w:r>
            <w:r w:rsidRPr="004C5A7E">
              <w:rPr>
                <w:bCs/>
                <w:color w:val="000000"/>
                <w:sz w:val="22"/>
                <w:szCs w:val="22"/>
              </w:rPr>
              <w:t xml:space="preserve"> закон</w:t>
            </w:r>
            <w:r>
              <w:rPr>
                <w:bCs/>
                <w:color w:val="000000"/>
                <w:sz w:val="22"/>
                <w:szCs w:val="22"/>
              </w:rPr>
              <w:t>у</w:t>
            </w:r>
            <w:r w:rsidRPr="004C5A7E">
              <w:rPr>
                <w:bCs/>
                <w:color w:val="000000"/>
                <w:sz w:val="22"/>
                <w:szCs w:val="22"/>
              </w:rPr>
              <w:t xml:space="preserve"> "Технический регламент о требованиях пожарной безопасности" от 22.07.2008 N 123-ФЗ</w:t>
            </w:r>
          </w:p>
        </w:tc>
      </w:tr>
      <w:tr w:rsidR="00013DE2" w:rsidRPr="006329E2" w14:paraId="6A811777" w14:textId="77777777" w:rsidTr="006D2DA2">
        <w:tc>
          <w:tcPr>
            <w:tcW w:w="752" w:type="dxa"/>
          </w:tcPr>
          <w:p w14:paraId="3A29B87F" w14:textId="03D88923" w:rsidR="00013DE2" w:rsidRPr="006329E2" w:rsidRDefault="00042D49" w:rsidP="000C2F6E">
            <w:pPr>
              <w:tabs>
                <w:tab w:val="left" w:pos="993"/>
              </w:tabs>
              <w:contextualSpacing/>
              <w:jc w:val="center"/>
              <w:rPr>
                <w:sz w:val="22"/>
                <w:szCs w:val="22"/>
              </w:rPr>
            </w:pPr>
            <w:r>
              <w:rPr>
                <w:sz w:val="22"/>
                <w:szCs w:val="22"/>
              </w:rPr>
              <w:lastRenderedPageBreak/>
              <w:t>12</w:t>
            </w:r>
          </w:p>
        </w:tc>
        <w:tc>
          <w:tcPr>
            <w:tcW w:w="2220" w:type="dxa"/>
          </w:tcPr>
          <w:p w14:paraId="6D97B0E8" w14:textId="25303739" w:rsidR="00013DE2" w:rsidRPr="006329E2" w:rsidRDefault="00413061" w:rsidP="002D3A22">
            <w:pPr>
              <w:tabs>
                <w:tab w:val="left" w:pos="993"/>
              </w:tabs>
              <w:contextualSpacing/>
              <w:jc w:val="both"/>
              <w:rPr>
                <w:sz w:val="22"/>
                <w:szCs w:val="22"/>
              </w:rPr>
            </w:pPr>
            <w:r w:rsidRPr="006329E2">
              <w:rPr>
                <w:sz w:val="22"/>
                <w:szCs w:val="22"/>
              </w:rPr>
              <w:t>Требования к подрядной организации</w:t>
            </w:r>
          </w:p>
        </w:tc>
        <w:tc>
          <w:tcPr>
            <w:tcW w:w="6563" w:type="dxa"/>
          </w:tcPr>
          <w:p w14:paraId="48F2E375" w14:textId="77777777" w:rsidR="001F5642" w:rsidRPr="006D2DA2" w:rsidRDefault="001F5642" w:rsidP="001F5642">
            <w:pPr>
              <w:tabs>
                <w:tab w:val="left" w:pos="993"/>
              </w:tabs>
              <w:contextualSpacing/>
              <w:jc w:val="both"/>
              <w:rPr>
                <w:sz w:val="22"/>
                <w:szCs w:val="22"/>
              </w:rPr>
            </w:pPr>
            <w:r w:rsidRPr="006D2DA2">
              <w:rPr>
                <w:sz w:val="22"/>
                <w:szCs w:val="22"/>
              </w:rPr>
              <w:t>1. Наличие свидетельства об аккредитации на право проведения негосударственной экспертизы проектной документации и результатов инженерных изысканий, выданное Министерством регионального развития.</w:t>
            </w:r>
          </w:p>
          <w:p w14:paraId="290CDB5E" w14:textId="77777777" w:rsidR="001F5642" w:rsidRPr="006D2DA2" w:rsidRDefault="001F5642" w:rsidP="001F5642">
            <w:pPr>
              <w:tabs>
                <w:tab w:val="left" w:pos="993"/>
              </w:tabs>
              <w:contextualSpacing/>
              <w:jc w:val="both"/>
              <w:rPr>
                <w:sz w:val="22"/>
                <w:szCs w:val="22"/>
              </w:rPr>
            </w:pPr>
            <w:r w:rsidRPr="006D2DA2">
              <w:rPr>
                <w:sz w:val="22"/>
                <w:szCs w:val="22"/>
              </w:rPr>
              <w:t>2. Наличие в штате государственных экспертов в области проведения экспертизы проектной документации и результатов инженерных изысканий.</w:t>
            </w:r>
          </w:p>
          <w:p w14:paraId="6D487325" w14:textId="77777777" w:rsidR="001F5642" w:rsidRPr="006D2DA2" w:rsidRDefault="001F5642" w:rsidP="001F5642">
            <w:pPr>
              <w:tabs>
                <w:tab w:val="left" w:pos="993"/>
              </w:tabs>
              <w:contextualSpacing/>
              <w:jc w:val="both"/>
              <w:rPr>
                <w:sz w:val="22"/>
                <w:szCs w:val="22"/>
              </w:rPr>
            </w:pPr>
            <w:r w:rsidRPr="006D2DA2">
              <w:rPr>
                <w:sz w:val="22"/>
                <w:szCs w:val="22"/>
              </w:rPr>
              <w:t>3. Наличие в штате государственных экспертов в области проведения экспертизы по областям:</w:t>
            </w:r>
          </w:p>
          <w:p w14:paraId="0F765605" w14:textId="77777777" w:rsidR="001F5642" w:rsidRPr="006D2DA2" w:rsidRDefault="001F5642" w:rsidP="001F5642">
            <w:pPr>
              <w:tabs>
                <w:tab w:val="left" w:pos="993"/>
              </w:tabs>
              <w:contextualSpacing/>
              <w:jc w:val="both"/>
              <w:rPr>
                <w:sz w:val="22"/>
                <w:szCs w:val="22"/>
              </w:rPr>
            </w:pPr>
            <w:r w:rsidRPr="006D2DA2">
              <w:rPr>
                <w:sz w:val="22"/>
                <w:szCs w:val="22"/>
              </w:rPr>
              <w:t>- в области инженерно-геологических изысканий;</w:t>
            </w:r>
          </w:p>
          <w:p w14:paraId="49CEAFCB" w14:textId="77777777" w:rsidR="001F5642" w:rsidRPr="006D2DA2" w:rsidRDefault="001F5642" w:rsidP="001F5642">
            <w:pPr>
              <w:tabs>
                <w:tab w:val="left" w:pos="993"/>
              </w:tabs>
              <w:contextualSpacing/>
              <w:jc w:val="both"/>
              <w:rPr>
                <w:sz w:val="22"/>
                <w:szCs w:val="22"/>
              </w:rPr>
            </w:pPr>
            <w:r w:rsidRPr="006D2DA2">
              <w:rPr>
                <w:sz w:val="22"/>
                <w:szCs w:val="22"/>
              </w:rPr>
              <w:t>- в области инженерно-геодезических изысканий;</w:t>
            </w:r>
          </w:p>
          <w:p w14:paraId="193ADE82" w14:textId="77777777" w:rsidR="001F5642" w:rsidRPr="006D2DA2" w:rsidRDefault="001F5642" w:rsidP="001F5642">
            <w:pPr>
              <w:tabs>
                <w:tab w:val="left" w:pos="993"/>
              </w:tabs>
              <w:contextualSpacing/>
              <w:jc w:val="both"/>
              <w:rPr>
                <w:sz w:val="22"/>
                <w:szCs w:val="22"/>
              </w:rPr>
            </w:pPr>
            <w:r w:rsidRPr="006D2DA2">
              <w:rPr>
                <w:sz w:val="22"/>
                <w:szCs w:val="22"/>
              </w:rPr>
              <w:t>- в области инженерно-гидрометеорологических изысканий;</w:t>
            </w:r>
          </w:p>
          <w:p w14:paraId="0276D9F4" w14:textId="77777777" w:rsidR="001F5642" w:rsidRPr="006D2DA2" w:rsidRDefault="001F5642" w:rsidP="001F5642">
            <w:pPr>
              <w:tabs>
                <w:tab w:val="left" w:pos="993"/>
              </w:tabs>
              <w:contextualSpacing/>
              <w:jc w:val="both"/>
              <w:rPr>
                <w:sz w:val="22"/>
                <w:szCs w:val="22"/>
              </w:rPr>
            </w:pPr>
            <w:r w:rsidRPr="006D2DA2">
              <w:rPr>
                <w:sz w:val="22"/>
                <w:szCs w:val="22"/>
              </w:rPr>
              <w:t>- в области инженерно-экологических изысканий;</w:t>
            </w:r>
          </w:p>
          <w:p w14:paraId="24940603" w14:textId="77777777" w:rsidR="001F5642" w:rsidRPr="006D2DA2" w:rsidRDefault="001F5642" w:rsidP="001F5642">
            <w:pPr>
              <w:tabs>
                <w:tab w:val="left" w:pos="993"/>
              </w:tabs>
              <w:contextualSpacing/>
              <w:jc w:val="both"/>
              <w:rPr>
                <w:sz w:val="22"/>
                <w:szCs w:val="22"/>
              </w:rPr>
            </w:pPr>
            <w:r w:rsidRPr="006D2DA2">
              <w:rPr>
                <w:sz w:val="22"/>
                <w:szCs w:val="22"/>
              </w:rPr>
              <w:t>- в области теплоснабжения, газоснабжения, вентиляции и кондиционирования;</w:t>
            </w:r>
          </w:p>
          <w:p w14:paraId="5DB7668D" w14:textId="77777777" w:rsidR="001F5642" w:rsidRPr="006D2DA2" w:rsidRDefault="001F5642" w:rsidP="001F5642">
            <w:pPr>
              <w:tabs>
                <w:tab w:val="left" w:pos="993"/>
              </w:tabs>
              <w:contextualSpacing/>
              <w:jc w:val="both"/>
              <w:rPr>
                <w:sz w:val="22"/>
                <w:szCs w:val="22"/>
              </w:rPr>
            </w:pPr>
            <w:r w:rsidRPr="006D2DA2">
              <w:rPr>
                <w:sz w:val="22"/>
                <w:szCs w:val="22"/>
              </w:rPr>
              <w:t>- в области охраны окружающей среды;</w:t>
            </w:r>
          </w:p>
          <w:p w14:paraId="5FE60850" w14:textId="77777777" w:rsidR="001F5642" w:rsidRPr="006D2DA2" w:rsidRDefault="001F5642" w:rsidP="001F5642">
            <w:pPr>
              <w:tabs>
                <w:tab w:val="left" w:pos="993"/>
              </w:tabs>
              <w:contextualSpacing/>
              <w:jc w:val="both"/>
              <w:rPr>
                <w:sz w:val="22"/>
                <w:szCs w:val="22"/>
              </w:rPr>
            </w:pPr>
            <w:r w:rsidRPr="006D2DA2">
              <w:rPr>
                <w:sz w:val="22"/>
                <w:szCs w:val="22"/>
              </w:rPr>
              <w:t>- в области пожарной безопасности;</w:t>
            </w:r>
          </w:p>
          <w:p w14:paraId="16D9BDC8" w14:textId="77777777" w:rsidR="001F5642" w:rsidRPr="006D2DA2" w:rsidRDefault="001F5642" w:rsidP="001F5642">
            <w:pPr>
              <w:tabs>
                <w:tab w:val="left" w:pos="993"/>
              </w:tabs>
              <w:contextualSpacing/>
              <w:jc w:val="both"/>
              <w:rPr>
                <w:sz w:val="22"/>
                <w:szCs w:val="22"/>
              </w:rPr>
            </w:pPr>
            <w:r w:rsidRPr="006D2DA2">
              <w:rPr>
                <w:sz w:val="22"/>
                <w:szCs w:val="22"/>
              </w:rPr>
              <w:t>- в области мероприятий ГО и ЧС;</w:t>
            </w:r>
          </w:p>
          <w:p w14:paraId="3A525788" w14:textId="77777777" w:rsidR="001F5642" w:rsidRPr="006D2DA2" w:rsidRDefault="001F5642" w:rsidP="001F5642">
            <w:pPr>
              <w:tabs>
                <w:tab w:val="left" w:pos="993"/>
              </w:tabs>
              <w:contextualSpacing/>
              <w:jc w:val="both"/>
              <w:rPr>
                <w:sz w:val="22"/>
                <w:szCs w:val="22"/>
              </w:rPr>
            </w:pPr>
            <w:r w:rsidRPr="006D2DA2">
              <w:rPr>
                <w:sz w:val="22"/>
                <w:szCs w:val="22"/>
              </w:rPr>
              <w:t>- в области электроснабжения и электропотребления;</w:t>
            </w:r>
          </w:p>
          <w:p w14:paraId="03F4C6E4" w14:textId="77777777" w:rsidR="001F5642" w:rsidRPr="006D2DA2" w:rsidRDefault="001F5642" w:rsidP="001F5642">
            <w:pPr>
              <w:tabs>
                <w:tab w:val="left" w:pos="993"/>
              </w:tabs>
              <w:contextualSpacing/>
              <w:jc w:val="both"/>
              <w:rPr>
                <w:sz w:val="22"/>
                <w:szCs w:val="22"/>
              </w:rPr>
            </w:pPr>
            <w:r w:rsidRPr="006D2DA2">
              <w:rPr>
                <w:sz w:val="22"/>
                <w:szCs w:val="22"/>
              </w:rPr>
              <w:t xml:space="preserve">- в области системы автоматизации, связи и сигнализации </w:t>
            </w:r>
          </w:p>
          <w:p w14:paraId="607EBB12" w14:textId="77777777" w:rsidR="001F5642" w:rsidRPr="006D2DA2" w:rsidRDefault="001F5642" w:rsidP="001F5642">
            <w:pPr>
              <w:tabs>
                <w:tab w:val="left" w:pos="993"/>
              </w:tabs>
              <w:contextualSpacing/>
              <w:jc w:val="both"/>
              <w:rPr>
                <w:sz w:val="22"/>
                <w:szCs w:val="22"/>
              </w:rPr>
            </w:pPr>
            <w:r w:rsidRPr="006D2DA2">
              <w:rPr>
                <w:sz w:val="22"/>
                <w:szCs w:val="22"/>
              </w:rPr>
              <w:t>- в области схемы планировочной организации земельных участков;</w:t>
            </w:r>
          </w:p>
          <w:p w14:paraId="78DB7BC0" w14:textId="77777777" w:rsidR="001F5642" w:rsidRPr="006D2DA2" w:rsidRDefault="001F5642" w:rsidP="001F5642">
            <w:pPr>
              <w:tabs>
                <w:tab w:val="left" w:pos="993"/>
              </w:tabs>
              <w:contextualSpacing/>
              <w:jc w:val="both"/>
              <w:rPr>
                <w:sz w:val="22"/>
                <w:szCs w:val="22"/>
              </w:rPr>
            </w:pPr>
            <w:r w:rsidRPr="006D2DA2">
              <w:rPr>
                <w:sz w:val="22"/>
                <w:szCs w:val="22"/>
              </w:rPr>
              <w:t>- в области конструктивных решений.</w:t>
            </w:r>
          </w:p>
          <w:p w14:paraId="17276944" w14:textId="77777777" w:rsidR="001F5642" w:rsidRPr="006D2DA2" w:rsidRDefault="001F5642" w:rsidP="001F5642">
            <w:pPr>
              <w:tabs>
                <w:tab w:val="left" w:pos="993"/>
              </w:tabs>
              <w:contextualSpacing/>
              <w:jc w:val="both"/>
              <w:rPr>
                <w:sz w:val="22"/>
                <w:szCs w:val="22"/>
              </w:rPr>
            </w:pPr>
            <w:r w:rsidRPr="006D2DA2">
              <w:rPr>
                <w:sz w:val="22"/>
                <w:szCs w:val="22"/>
              </w:rPr>
              <w:t>Опыт работы в области проведения различных экспертиз (судебных, строительных, негосударственных и т.д.) не менее 3х лет.</w:t>
            </w:r>
          </w:p>
          <w:p w14:paraId="5DFE1A90" w14:textId="77777777" w:rsidR="001F5642" w:rsidRPr="006D2DA2" w:rsidRDefault="001F5642" w:rsidP="001F5642">
            <w:pPr>
              <w:tabs>
                <w:tab w:val="left" w:pos="993"/>
              </w:tabs>
              <w:contextualSpacing/>
              <w:jc w:val="both"/>
              <w:rPr>
                <w:sz w:val="22"/>
                <w:szCs w:val="22"/>
              </w:rPr>
            </w:pPr>
            <w:r w:rsidRPr="006D2DA2">
              <w:rPr>
                <w:sz w:val="22"/>
                <w:szCs w:val="22"/>
              </w:rPr>
              <w:t>Наличие полиса страхования ответственности.</w:t>
            </w:r>
          </w:p>
          <w:p w14:paraId="784DDD60" w14:textId="77777777" w:rsidR="001F5642" w:rsidRPr="006D2DA2" w:rsidRDefault="001F5642" w:rsidP="001F5642">
            <w:pPr>
              <w:tabs>
                <w:tab w:val="left" w:pos="993"/>
              </w:tabs>
              <w:contextualSpacing/>
              <w:jc w:val="both"/>
              <w:rPr>
                <w:sz w:val="22"/>
                <w:szCs w:val="22"/>
              </w:rPr>
            </w:pPr>
            <w:r w:rsidRPr="006D2DA2">
              <w:rPr>
                <w:sz w:val="22"/>
                <w:szCs w:val="22"/>
              </w:rPr>
              <w:t>Для заключения договора на проведение негосударственной экспертизы, организация предоставляет заказчику следующие документы:</w:t>
            </w:r>
          </w:p>
          <w:p w14:paraId="5E32AEA0" w14:textId="77777777" w:rsidR="001F5642" w:rsidRPr="006D2DA2" w:rsidRDefault="001F5642" w:rsidP="001F5642">
            <w:pPr>
              <w:tabs>
                <w:tab w:val="left" w:pos="993"/>
              </w:tabs>
              <w:contextualSpacing/>
              <w:jc w:val="both"/>
              <w:rPr>
                <w:sz w:val="22"/>
                <w:szCs w:val="22"/>
              </w:rPr>
            </w:pPr>
            <w:r w:rsidRPr="006D2DA2">
              <w:rPr>
                <w:sz w:val="22"/>
                <w:szCs w:val="22"/>
              </w:rPr>
              <w:t>Копия документа, подтверждающего аккредитацию организации;</w:t>
            </w:r>
          </w:p>
          <w:p w14:paraId="5962089D" w14:textId="77777777" w:rsidR="001F5642" w:rsidRPr="006D2DA2" w:rsidRDefault="001F5642" w:rsidP="001F5642">
            <w:pPr>
              <w:tabs>
                <w:tab w:val="left" w:pos="993"/>
              </w:tabs>
              <w:contextualSpacing/>
              <w:jc w:val="both"/>
              <w:rPr>
                <w:sz w:val="22"/>
                <w:szCs w:val="22"/>
              </w:rPr>
            </w:pPr>
            <w:r w:rsidRPr="006D2DA2">
              <w:rPr>
                <w:sz w:val="22"/>
                <w:szCs w:val="22"/>
              </w:rPr>
              <w:lastRenderedPageBreak/>
              <w:t>Копия документа, подтверждающего факт внесения записи о юридическом лице в Единый государственный реестр юридических лиц;</w:t>
            </w:r>
          </w:p>
          <w:p w14:paraId="20F15CBB" w14:textId="77777777" w:rsidR="001F5642" w:rsidRPr="006D2DA2" w:rsidRDefault="001F5642" w:rsidP="001F5642">
            <w:pPr>
              <w:tabs>
                <w:tab w:val="left" w:pos="993"/>
              </w:tabs>
              <w:contextualSpacing/>
              <w:jc w:val="both"/>
              <w:rPr>
                <w:sz w:val="22"/>
                <w:szCs w:val="22"/>
              </w:rPr>
            </w:pPr>
            <w:r w:rsidRPr="006D2DA2">
              <w:rPr>
                <w:sz w:val="22"/>
                <w:szCs w:val="22"/>
              </w:rPr>
              <w:t>Копии учредительных документов организации;</w:t>
            </w:r>
          </w:p>
          <w:p w14:paraId="667F48C6" w14:textId="77777777" w:rsidR="001F5642" w:rsidRPr="006D2DA2" w:rsidRDefault="001F5642" w:rsidP="001F5642">
            <w:pPr>
              <w:tabs>
                <w:tab w:val="left" w:pos="993"/>
              </w:tabs>
              <w:contextualSpacing/>
              <w:jc w:val="both"/>
              <w:rPr>
                <w:sz w:val="22"/>
                <w:szCs w:val="22"/>
              </w:rPr>
            </w:pPr>
            <w:r w:rsidRPr="006D2DA2">
              <w:rPr>
                <w:sz w:val="22"/>
                <w:szCs w:val="22"/>
              </w:rPr>
              <w:t>Сведения о фактическом адресе организации;</w:t>
            </w:r>
          </w:p>
          <w:p w14:paraId="6F6AAD23" w14:textId="3C17C1C6" w:rsidR="00013DE2" w:rsidRPr="006D2DA2" w:rsidRDefault="001F5642" w:rsidP="001F5642">
            <w:pPr>
              <w:tabs>
                <w:tab w:val="left" w:pos="993"/>
              </w:tabs>
              <w:contextualSpacing/>
              <w:jc w:val="both"/>
              <w:rPr>
                <w:sz w:val="22"/>
                <w:szCs w:val="22"/>
              </w:rPr>
            </w:pPr>
            <w:r w:rsidRPr="006D2DA2">
              <w:rPr>
                <w:sz w:val="22"/>
                <w:szCs w:val="22"/>
              </w:rPr>
              <w:t>Заверенные копии аттестатов работников, подтверждающие высшее профессиональное образование в той области деятельности, в отношении результатов которой испрашивается аккредитация.</w:t>
            </w:r>
          </w:p>
        </w:tc>
      </w:tr>
      <w:tr w:rsidR="00B0697F" w:rsidRPr="006329E2" w14:paraId="2578CE76" w14:textId="77777777" w:rsidTr="006D2DA2">
        <w:trPr>
          <w:trHeight w:val="2510"/>
        </w:trPr>
        <w:tc>
          <w:tcPr>
            <w:tcW w:w="752" w:type="dxa"/>
          </w:tcPr>
          <w:p w14:paraId="5B66C36B" w14:textId="2B9791B1" w:rsidR="00B0697F" w:rsidRPr="006329E2" w:rsidRDefault="00042D49" w:rsidP="00E44BB2">
            <w:pPr>
              <w:tabs>
                <w:tab w:val="left" w:pos="993"/>
              </w:tabs>
              <w:contextualSpacing/>
              <w:jc w:val="center"/>
              <w:rPr>
                <w:sz w:val="22"/>
                <w:szCs w:val="22"/>
              </w:rPr>
            </w:pPr>
            <w:r>
              <w:rPr>
                <w:sz w:val="22"/>
                <w:szCs w:val="22"/>
              </w:rPr>
              <w:lastRenderedPageBreak/>
              <w:t>13</w:t>
            </w:r>
          </w:p>
        </w:tc>
        <w:tc>
          <w:tcPr>
            <w:tcW w:w="2220" w:type="dxa"/>
          </w:tcPr>
          <w:p w14:paraId="1063D6B6" w14:textId="537287D0" w:rsidR="00B0697F" w:rsidRPr="006329E2" w:rsidRDefault="00B0697F" w:rsidP="00E44BB2">
            <w:pPr>
              <w:tabs>
                <w:tab w:val="left" w:pos="993"/>
              </w:tabs>
              <w:contextualSpacing/>
              <w:jc w:val="both"/>
              <w:rPr>
                <w:sz w:val="22"/>
                <w:szCs w:val="22"/>
              </w:rPr>
            </w:pPr>
            <w:r>
              <w:rPr>
                <w:sz w:val="22"/>
                <w:szCs w:val="22"/>
              </w:rPr>
              <w:t xml:space="preserve">Объем работ </w:t>
            </w:r>
          </w:p>
        </w:tc>
        <w:tc>
          <w:tcPr>
            <w:tcW w:w="6563" w:type="dxa"/>
          </w:tcPr>
          <w:p w14:paraId="2D3A892B" w14:textId="77777777" w:rsidR="009C2ADE" w:rsidRPr="009C2ADE" w:rsidRDefault="009C2ADE" w:rsidP="009C2ADE">
            <w:pPr>
              <w:tabs>
                <w:tab w:val="left" w:pos="993"/>
              </w:tabs>
              <w:contextualSpacing/>
              <w:jc w:val="both"/>
              <w:rPr>
                <w:sz w:val="22"/>
                <w:szCs w:val="22"/>
              </w:rPr>
            </w:pPr>
            <w:r w:rsidRPr="009C2ADE">
              <w:rPr>
                <w:sz w:val="22"/>
                <w:szCs w:val="22"/>
              </w:rPr>
              <w:t>Изыскания:</w:t>
            </w:r>
          </w:p>
          <w:p w14:paraId="39AD0DC3" w14:textId="77777777" w:rsidR="009C2ADE" w:rsidRPr="009C2ADE" w:rsidRDefault="009C2ADE" w:rsidP="009C2ADE">
            <w:pPr>
              <w:tabs>
                <w:tab w:val="left" w:pos="993"/>
              </w:tabs>
              <w:contextualSpacing/>
              <w:jc w:val="both"/>
              <w:rPr>
                <w:sz w:val="22"/>
                <w:szCs w:val="22"/>
              </w:rPr>
            </w:pPr>
            <w:r w:rsidRPr="009C2ADE">
              <w:rPr>
                <w:sz w:val="22"/>
                <w:szCs w:val="22"/>
              </w:rPr>
              <w:t>- Инженерно-геодезические изыскания;</w:t>
            </w:r>
          </w:p>
          <w:p w14:paraId="3EF5D532" w14:textId="77777777" w:rsidR="009C2ADE" w:rsidRPr="009C2ADE" w:rsidRDefault="009C2ADE" w:rsidP="009C2ADE">
            <w:pPr>
              <w:tabs>
                <w:tab w:val="left" w:pos="993"/>
              </w:tabs>
              <w:contextualSpacing/>
              <w:jc w:val="both"/>
              <w:rPr>
                <w:sz w:val="22"/>
                <w:szCs w:val="22"/>
              </w:rPr>
            </w:pPr>
            <w:r w:rsidRPr="009C2ADE">
              <w:rPr>
                <w:sz w:val="22"/>
                <w:szCs w:val="22"/>
              </w:rPr>
              <w:t>- Инженерно-геологические изыскания;</w:t>
            </w:r>
          </w:p>
          <w:p w14:paraId="7800B375" w14:textId="77777777" w:rsidR="009C2ADE" w:rsidRPr="009C2ADE" w:rsidRDefault="009C2ADE" w:rsidP="009C2ADE">
            <w:pPr>
              <w:tabs>
                <w:tab w:val="left" w:pos="993"/>
              </w:tabs>
              <w:contextualSpacing/>
              <w:jc w:val="both"/>
              <w:rPr>
                <w:sz w:val="22"/>
                <w:szCs w:val="22"/>
              </w:rPr>
            </w:pPr>
            <w:r w:rsidRPr="009C2ADE">
              <w:rPr>
                <w:sz w:val="22"/>
                <w:szCs w:val="22"/>
              </w:rPr>
              <w:t>- Инженерно-гидрометеорологические изыскания;</w:t>
            </w:r>
          </w:p>
          <w:p w14:paraId="151924F2" w14:textId="173ACA42" w:rsidR="009C2ADE" w:rsidRPr="009C2ADE" w:rsidRDefault="009C2ADE" w:rsidP="009C2ADE">
            <w:pPr>
              <w:tabs>
                <w:tab w:val="left" w:pos="993"/>
              </w:tabs>
              <w:contextualSpacing/>
              <w:jc w:val="both"/>
              <w:rPr>
                <w:sz w:val="22"/>
                <w:szCs w:val="22"/>
              </w:rPr>
            </w:pPr>
            <w:r w:rsidRPr="009C2ADE">
              <w:rPr>
                <w:sz w:val="22"/>
                <w:szCs w:val="22"/>
              </w:rPr>
              <w:t>- Инженерно-экологические изыскания;</w:t>
            </w:r>
          </w:p>
          <w:p w14:paraId="7DD9631F" w14:textId="349CFAB5" w:rsidR="009C2ADE" w:rsidRDefault="009C2ADE" w:rsidP="009C2ADE">
            <w:pPr>
              <w:tabs>
                <w:tab w:val="left" w:pos="993"/>
              </w:tabs>
              <w:contextualSpacing/>
              <w:jc w:val="both"/>
            </w:pPr>
            <w:r>
              <w:t xml:space="preserve">Жилые дома </w:t>
            </w:r>
            <w:r w:rsidRPr="009B1692">
              <w:t>9 и 15 с подземными автостоянками</w:t>
            </w:r>
            <w:r>
              <w:t xml:space="preserve">, включая </w:t>
            </w:r>
            <w:r w:rsidRPr="009C2ADE">
              <w:t>внутриплощадочные сети в рамках СПОЗУ.</w:t>
            </w:r>
          </w:p>
          <w:p w14:paraId="2B761923" w14:textId="496F45CD" w:rsidR="009C2ADE" w:rsidRDefault="006D2DA2" w:rsidP="009C2ADE">
            <w:pPr>
              <w:tabs>
                <w:tab w:val="left" w:pos="993"/>
              </w:tabs>
              <w:contextualSpacing/>
              <w:jc w:val="both"/>
            </w:pPr>
            <w:r>
              <w:t xml:space="preserve">Таблица </w:t>
            </w:r>
            <w:proofErr w:type="spellStart"/>
            <w:r>
              <w:t>ТЭПов</w:t>
            </w:r>
            <w:proofErr w:type="spellEnd"/>
            <w:r>
              <w:t xml:space="preserve"> по 9 и 15 корпусам, с подземными автостоянками и схема их расположения представлена в Приложении 1. </w:t>
            </w:r>
          </w:p>
          <w:p w14:paraId="6130BABD" w14:textId="70EC11DC" w:rsidR="009C2ADE" w:rsidRPr="006329E2" w:rsidRDefault="009C2ADE" w:rsidP="009C2ADE">
            <w:pPr>
              <w:tabs>
                <w:tab w:val="left" w:pos="993"/>
              </w:tabs>
              <w:contextualSpacing/>
              <w:jc w:val="both"/>
              <w:rPr>
                <w:sz w:val="22"/>
                <w:szCs w:val="22"/>
              </w:rPr>
            </w:pPr>
          </w:p>
        </w:tc>
      </w:tr>
      <w:tr w:rsidR="00E44BB2" w:rsidRPr="006329E2" w14:paraId="1321F960" w14:textId="77777777" w:rsidTr="006D2DA2">
        <w:tc>
          <w:tcPr>
            <w:tcW w:w="752" w:type="dxa"/>
          </w:tcPr>
          <w:p w14:paraId="2B4FAF40" w14:textId="3E6D60DF" w:rsidR="00E44BB2" w:rsidRPr="006329E2" w:rsidRDefault="00042D49" w:rsidP="00E44BB2">
            <w:pPr>
              <w:tabs>
                <w:tab w:val="left" w:pos="993"/>
              </w:tabs>
              <w:contextualSpacing/>
              <w:jc w:val="center"/>
              <w:rPr>
                <w:sz w:val="22"/>
                <w:szCs w:val="22"/>
              </w:rPr>
            </w:pPr>
            <w:r>
              <w:rPr>
                <w:sz w:val="22"/>
                <w:szCs w:val="22"/>
              </w:rPr>
              <w:t>14</w:t>
            </w:r>
          </w:p>
        </w:tc>
        <w:tc>
          <w:tcPr>
            <w:tcW w:w="2220" w:type="dxa"/>
          </w:tcPr>
          <w:p w14:paraId="2B02E7B1" w14:textId="23548C5F" w:rsidR="00E44BB2" w:rsidRPr="006329E2" w:rsidRDefault="006D2DA2" w:rsidP="00E44BB2">
            <w:pPr>
              <w:tabs>
                <w:tab w:val="left" w:pos="993"/>
              </w:tabs>
              <w:contextualSpacing/>
              <w:jc w:val="both"/>
              <w:rPr>
                <w:sz w:val="22"/>
                <w:szCs w:val="22"/>
              </w:rPr>
            </w:pPr>
            <w:r>
              <w:rPr>
                <w:sz w:val="22"/>
                <w:szCs w:val="22"/>
              </w:rPr>
              <w:t>Результат работ</w:t>
            </w:r>
          </w:p>
        </w:tc>
        <w:tc>
          <w:tcPr>
            <w:tcW w:w="6563" w:type="dxa"/>
          </w:tcPr>
          <w:p w14:paraId="59C9EA00" w14:textId="2ADEBF7E" w:rsidR="00E44BB2" w:rsidRPr="006329E2" w:rsidRDefault="00E44BB2" w:rsidP="00E44BB2">
            <w:pPr>
              <w:tabs>
                <w:tab w:val="left" w:pos="993"/>
              </w:tabs>
              <w:contextualSpacing/>
              <w:jc w:val="both"/>
              <w:rPr>
                <w:sz w:val="22"/>
                <w:szCs w:val="22"/>
              </w:rPr>
            </w:pPr>
            <w:r w:rsidRPr="006329E2">
              <w:rPr>
                <w:sz w:val="22"/>
                <w:szCs w:val="22"/>
              </w:rPr>
              <w:t xml:space="preserve">Исполнитель обязуется предоставить  </w:t>
            </w:r>
            <w:r w:rsidR="006D2DA2">
              <w:rPr>
                <w:sz w:val="22"/>
                <w:szCs w:val="22"/>
              </w:rPr>
              <w:t xml:space="preserve">Заказчику </w:t>
            </w:r>
            <w:r w:rsidR="00A70C9A">
              <w:rPr>
                <w:sz w:val="22"/>
                <w:szCs w:val="22"/>
              </w:rPr>
              <w:t>заключение</w:t>
            </w:r>
            <w:r w:rsidR="00A70C9A" w:rsidRPr="00A70C9A">
              <w:rPr>
                <w:sz w:val="22"/>
                <w:szCs w:val="22"/>
              </w:rPr>
              <w:t xml:space="preserve"> </w:t>
            </w:r>
            <w:r w:rsidRPr="006329E2">
              <w:rPr>
                <w:sz w:val="22"/>
                <w:szCs w:val="22"/>
              </w:rPr>
              <w:t>содержащее выводы о соответствии (положительное заключение) или несоответствии (отрицательное заключение) проектной документации и ре</w:t>
            </w:r>
            <w:r w:rsidR="00A70C9A">
              <w:rPr>
                <w:sz w:val="22"/>
                <w:szCs w:val="22"/>
              </w:rPr>
              <w:t>зультатах инженерных изысканий</w:t>
            </w:r>
            <w:r w:rsidR="00A70C9A" w:rsidRPr="00A70C9A">
              <w:rPr>
                <w:sz w:val="22"/>
                <w:szCs w:val="22"/>
              </w:rPr>
              <w:t xml:space="preserve"> </w:t>
            </w:r>
            <w:r w:rsidRPr="006329E2">
              <w:rPr>
                <w:sz w:val="22"/>
                <w:szCs w:val="22"/>
              </w:rPr>
              <w:t>требованиям технических регламентов, в том числе санитарно-эпидемиологическим,</w:t>
            </w:r>
            <w:r w:rsidR="006329E2">
              <w:rPr>
                <w:sz w:val="22"/>
                <w:szCs w:val="22"/>
              </w:rPr>
              <w:t xml:space="preserve"> </w:t>
            </w:r>
            <w:r w:rsidRPr="006329E2">
              <w:rPr>
                <w:sz w:val="22"/>
                <w:szCs w:val="22"/>
              </w:rPr>
              <w:t>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 Постановлением Правительства Российской Федерации от 16 февраля 2008 года N 87</w:t>
            </w:r>
          </w:p>
          <w:p w14:paraId="3222E98D" w14:textId="77777777" w:rsidR="00E44BB2" w:rsidRPr="006329E2" w:rsidRDefault="00E44BB2" w:rsidP="00E44BB2">
            <w:pPr>
              <w:tabs>
                <w:tab w:val="left" w:pos="993"/>
              </w:tabs>
              <w:contextualSpacing/>
              <w:jc w:val="both"/>
              <w:rPr>
                <w:sz w:val="22"/>
                <w:szCs w:val="22"/>
              </w:rPr>
            </w:pPr>
            <w:r w:rsidRPr="006329E2">
              <w:rPr>
                <w:sz w:val="22"/>
                <w:szCs w:val="22"/>
              </w:rPr>
              <w:t>«О составе разделов проектной документации и требованиях к их содержанию (с изменениями на 23 января 2016 года, а также результатов инженерных изысканий требованиям технических регламентов, на бумажном носителе в количестве 4 (четырёх) экземпляров.</w:t>
            </w:r>
          </w:p>
          <w:p w14:paraId="297F490B" w14:textId="0066A11D" w:rsidR="00E44BB2" w:rsidRPr="006329E2" w:rsidRDefault="00E44BB2" w:rsidP="00E44BB2">
            <w:pPr>
              <w:tabs>
                <w:tab w:val="left" w:pos="993"/>
              </w:tabs>
              <w:contextualSpacing/>
              <w:jc w:val="both"/>
              <w:rPr>
                <w:sz w:val="22"/>
                <w:szCs w:val="22"/>
              </w:rPr>
            </w:pPr>
            <w:r w:rsidRPr="006329E2">
              <w:rPr>
                <w:sz w:val="22"/>
                <w:szCs w:val="22"/>
              </w:rPr>
              <w:t>Форма заключения должна соответствовать требованиям Приказа Минстроя России от 09.12.2015 N 887/</w:t>
            </w:r>
            <w:proofErr w:type="spellStart"/>
            <w:r w:rsidRPr="006329E2">
              <w:rPr>
                <w:sz w:val="22"/>
                <w:szCs w:val="22"/>
              </w:rPr>
              <w:t>пр</w:t>
            </w:r>
            <w:proofErr w:type="spellEnd"/>
            <w:r w:rsidRPr="006329E2">
              <w:rPr>
                <w:sz w:val="22"/>
                <w:szCs w:val="22"/>
              </w:rPr>
              <w:t xml:space="preserve"> "Об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 (Зарегистрировано в Минюсте России 29.12.2015 N 40333)</w:t>
            </w:r>
          </w:p>
        </w:tc>
      </w:tr>
    </w:tbl>
    <w:p w14:paraId="765A8EFD" w14:textId="3A258FC7" w:rsidR="006D2DA2" w:rsidRDefault="006D2DA2" w:rsidP="00FB7AC3">
      <w:pPr>
        <w:tabs>
          <w:tab w:val="left" w:pos="993"/>
        </w:tabs>
        <w:contextualSpacing/>
        <w:rPr>
          <w:rFonts w:asciiTheme="minorHAnsi" w:hAnsiTheme="minorHAnsi" w:cstheme="minorHAnsi"/>
          <w:b/>
        </w:rPr>
      </w:pPr>
    </w:p>
    <w:tbl>
      <w:tblPr>
        <w:tblW w:w="9493" w:type="dxa"/>
        <w:jc w:val="center"/>
        <w:tblLook w:val="01E0" w:firstRow="1" w:lastRow="1" w:firstColumn="1" w:lastColumn="1" w:noHBand="0" w:noVBand="0"/>
      </w:tblPr>
      <w:tblGrid>
        <w:gridCol w:w="4957"/>
        <w:gridCol w:w="4536"/>
      </w:tblGrid>
      <w:tr w:rsidR="00FB7AC3" w:rsidRPr="00F26075" w14:paraId="58EAA7AC" w14:textId="77777777" w:rsidTr="00EA0A78">
        <w:trPr>
          <w:trHeight w:val="1934"/>
          <w:jc w:val="center"/>
        </w:trPr>
        <w:tc>
          <w:tcPr>
            <w:tcW w:w="4957" w:type="dxa"/>
            <w:shd w:val="clear" w:color="auto" w:fill="auto"/>
          </w:tcPr>
          <w:p w14:paraId="5F3BAF30" w14:textId="77777777" w:rsidR="00FB7AC3" w:rsidRPr="00330BD1" w:rsidRDefault="00FB7AC3" w:rsidP="00EA0A78">
            <w:pPr>
              <w:rPr>
                <w:b/>
              </w:rPr>
            </w:pPr>
          </w:p>
          <w:p w14:paraId="0FBCA6D2" w14:textId="77777777" w:rsidR="00FB7AC3" w:rsidRPr="00330BD1" w:rsidRDefault="00FB7AC3" w:rsidP="00EA0A78">
            <w:pPr>
              <w:rPr>
                <w:b/>
              </w:rPr>
            </w:pPr>
          </w:p>
          <w:p w14:paraId="53588CB9" w14:textId="77777777" w:rsidR="00FB7AC3" w:rsidRPr="00330BD1" w:rsidRDefault="00FB7AC3" w:rsidP="00EA0A78">
            <w:pPr>
              <w:rPr>
                <w:b/>
              </w:rPr>
            </w:pPr>
            <w:r w:rsidRPr="00330BD1">
              <w:rPr>
                <w:b/>
              </w:rPr>
              <w:t xml:space="preserve">Заказчик: </w:t>
            </w:r>
          </w:p>
          <w:p w14:paraId="071B6529" w14:textId="77777777" w:rsidR="00FB7AC3" w:rsidRPr="00B2775E" w:rsidRDefault="00FB7AC3" w:rsidP="00EA0A78">
            <w:pPr>
              <w:ind w:right="198"/>
              <w:rPr>
                <w:b/>
                <w:lang w:eastAsia="en-US"/>
              </w:rPr>
            </w:pPr>
            <w:r w:rsidRPr="00B2775E">
              <w:rPr>
                <w:b/>
                <w:lang w:eastAsia="en-US"/>
              </w:rPr>
              <w:t xml:space="preserve">от </w:t>
            </w:r>
            <w:r>
              <w:rPr>
                <w:b/>
                <w:lang w:eastAsia="en-US"/>
              </w:rPr>
              <w:t>ООО СЗ «РКС-Нахабино»</w:t>
            </w:r>
          </w:p>
          <w:p w14:paraId="4104821A" w14:textId="77777777" w:rsidR="00FB7AC3" w:rsidRPr="008D2C7C" w:rsidRDefault="00FB7AC3" w:rsidP="00EA0A78">
            <w:pPr>
              <w:ind w:right="198"/>
              <w:rPr>
                <w:lang w:eastAsia="en-US"/>
              </w:rPr>
            </w:pPr>
            <w:r w:rsidRPr="008D2C7C">
              <w:rPr>
                <w:bCs/>
                <w:lang w:eastAsia="en-US"/>
              </w:rPr>
              <w:t xml:space="preserve">Генеральный директор </w:t>
            </w:r>
            <w:r w:rsidRPr="008D2C7C">
              <w:rPr>
                <w:lang w:eastAsia="en-US"/>
              </w:rPr>
              <w:t>управляющей организации ООО «РКС-Москва»</w:t>
            </w:r>
          </w:p>
          <w:p w14:paraId="64FFFFBA" w14:textId="77777777" w:rsidR="00FB7AC3" w:rsidRPr="00330BD1" w:rsidRDefault="00FB7AC3" w:rsidP="00EA0A78"/>
          <w:p w14:paraId="4C026C12" w14:textId="77777777" w:rsidR="00FB7AC3" w:rsidRPr="00330BD1" w:rsidRDefault="00FB7AC3" w:rsidP="00EA0A78">
            <w:r w:rsidRPr="00330BD1">
              <w:t xml:space="preserve">_______________________ / С.И. Сагирян / </w:t>
            </w:r>
          </w:p>
          <w:p w14:paraId="13F8BECA" w14:textId="77777777" w:rsidR="00FB7AC3" w:rsidRPr="00330BD1" w:rsidRDefault="00FB7AC3" w:rsidP="00EA0A78">
            <w:r w:rsidRPr="00330BD1">
              <w:t>М.П.</w:t>
            </w:r>
          </w:p>
        </w:tc>
        <w:tc>
          <w:tcPr>
            <w:tcW w:w="4536" w:type="dxa"/>
            <w:shd w:val="clear" w:color="auto" w:fill="auto"/>
          </w:tcPr>
          <w:p w14:paraId="48BC1377" w14:textId="77777777" w:rsidR="00FB7AC3" w:rsidRPr="00330BD1" w:rsidRDefault="00FB7AC3" w:rsidP="00EA0A78">
            <w:pPr>
              <w:rPr>
                <w:b/>
              </w:rPr>
            </w:pPr>
          </w:p>
          <w:p w14:paraId="72438C07" w14:textId="77777777" w:rsidR="00FB7AC3" w:rsidRPr="00330BD1" w:rsidRDefault="00FB7AC3" w:rsidP="00EA0A78">
            <w:pPr>
              <w:rPr>
                <w:b/>
              </w:rPr>
            </w:pPr>
          </w:p>
          <w:p w14:paraId="245FD38B" w14:textId="5FCF3A97" w:rsidR="00FB7AC3" w:rsidRPr="00330BD1" w:rsidRDefault="00FB7AC3" w:rsidP="00EA0A78">
            <w:pPr>
              <w:rPr>
                <w:b/>
              </w:rPr>
            </w:pPr>
            <w:r>
              <w:rPr>
                <w:b/>
              </w:rPr>
              <w:t>Исполнитель</w:t>
            </w:r>
            <w:r w:rsidRPr="00330BD1">
              <w:rPr>
                <w:b/>
              </w:rPr>
              <w:t>:</w:t>
            </w:r>
          </w:p>
          <w:p w14:paraId="2DA13EC8" w14:textId="3D872278" w:rsidR="00FB7AC3" w:rsidRDefault="00FB7AC3" w:rsidP="00EA0A78"/>
          <w:p w14:paraId="04421F67" w14:textId="77777777" w:rsidR="00FB7AC3" w:rsidRDefault="00FB7AC3" w:rsidP="00EA0A78"/>
          <w:p w14:paraId="1DF255F3" w14:textId="77777777" w:rsidR="00FB7AC3" w:rsidRDefault="00FB7AC3" w:rsidP="00EA0A78"/>
          <w:p w14:paraId="74D81634" w14:textId="77777777" w:rsidR="00FB7AC3" w:rsidRDefault="00FB7AC3" w:rsidP="00EA0A78"/>
          <w:p w14:paraId="20D8BB4F" w14:textId="0B8E6525" w:rsidR="00FB7AC3" w:rsidRPr="004E51D2" w:rsidRDefault="00FB7AC3" w:rsidP="00EA0A78">
            <w:r>
              <w:t>____________________</w:t>
            </w:r>
            <w:r w:rsidRPr="004E51D2">
              <w:t>/</w:t>
            </w:r>
            <w:r>
              <w:t xml:space="preserve">                             </w:t>
            </w:r>
            <w:r w:rsidRPr="004E51D2">
              <w:t>/</w:t>
            </w:r>
          </w:p>
          <w:p w14:paraId="35968743" w14:textId="77777777" w:rsidR="00FB7AC3" w:rsidRPr="00B21C95" w:rsidRDefault="00FB7AC3" w:rsidP="00EA0A78">
            <w:r>
              <w:t>М.П.</w:t>
            </w:r>
          </w:p>
          <w:p w14:paraId="6ACFECB4" w14:textId="77777777" w:rsidR="00FB7AC3" w:rsidRDefault="00FB7AC3" w:rsidP="00EA0A78"/>
          <w:p w14:paraId="45B8ADA7" w14:textId="77777777" w:rsidR="00FB7AC3" w:rsidRPr="00F26075" w:rsidRDefault="00FB7AC3" w:rsidP="00EA0A78"/>
        </w:tc>
      </w:tr>
    </w:tbl>
    <w:p w14:paraId="4B218764" w14:textId="13A2052F" w:rsidR="006D2DA2" w:rsidRDefault="006D2DA2" w:rsidP="000C2F6E">
      <w:pPr>
        <w:tabs>
          <w:tab w:val="left" w:pos="993"/>
        </w:tabs>
        <w:contextualSpacing/>
        <w:jc w:val="center"/>
        <w:rPr>
          <w:rFonts w:asciiTheme="minorHAnsi" w:hAnsiTheme="minorHAnsi" w:cstheme="minorHAnsi"/>
          <w:b/>
        </w:rPr>
      </w:pPr>
    </w:p>
    <w:p w14:paraId="3099AF48" w14:textId="12E634AD" w:rsidR="006D2DA2" w:rsidRDefault="006D2DA2" w:rsidP="000C2F6E">
      <w:pPr>
        <w:tabs>
          <w:tab w:val="left" w:pos="993"/>
        </w:tabs>
        <w:contextualSpacing/>
        <w:jc w:val="center"/>
        <w:rPr>
          <w:rFonts w:asciiTheme="minorHAnsi" w:hAnsiTheme="minorHAnsi" w:cstheme="minorHAnsi"/>
          <w:b/>
        </w:rPr>
      </w:pPr>
    </w:p>
    <w:p w14:paraId="27FB8EAE" w14:textId="789D6D05" w:rsidR="006D2DA2" w:rsidRDefault="006D2DA2" w:rsidP="005C4923">
      <w:pPr>
        <w:tabs>
          <w:tab w:val="left" w:pos="993"/>
        </w:tabs>
        <w:contextualSpacing/>
        <w:jc w:val="center"/>
        <w:rPr>
          <w:rFonts w:asciiTheme="minorHAnsi" w:hAnsiTheme="minorHAnsi" w:cstheme="minorHAnsi"/>
          <w:b/>
        </w:rPr>
      </w:pPr>
    </w:p>
    <w:sectPr w:rsidR="006D2DA2" w:rsidSect="006D2DA2">
      <w:footerReference w:type="even" r:id="rId7"/>
      <w:footerReference w:type="default" r:id="rId8"/>
      <w:footerReference w:type="first" r:id="rId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858F5" w14:textId="77777777" w:rsidR="00DE6419" w:rsidRDefault="00DE6419">
      <w:r>
        <w:separator/>
      </w:r>
    </w:p>
  </w:endnote>
  <w:endnote w:type="continuationSeparator" w:id="0">
    <w:p w14:paraId="38638170" w14:textId="77777777" w:rsidR="00DE6419" w:rsidRDefault="00DE6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Cn BT">
    <w:altName w:val="Arial Narrow"/>
    <w:panose1 w:val="020B0406020202030204"/>
    <w:charset w:val="00"/>
    <w:family w:val="swiss"/>
    <w:pitch w:val="variable"/>
    <w:sig w:usb0="00000087" w:usb1="00000000" w:usb2="00000000" w:usb3="00000000" w:csb0="0000001B"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1CBFC" w14:textId="77777777" w:rsidR="00124FB8" w:rsidRPr="002552F5" w:rsidRDefault="00124FB8" w:rsidP="002552F5">
    <w:r w:rsidRPr="002552F5">
      <w:fldChar w:fldCharType="begin"/>
    </w:r>
    <w:r w:rsidRPr="002552F5">
      <w:instrText xml:space="preserve">PAGE  </w:instrText>
    </w:r>
    <w:r w:rsidRPr="002552F5">
      <w:fldChar w:fldCharType="separate"/>
    </w:r>
    <w:r w:rsidRPr="002552F5">
      <w:t>48</w:t>
    </w:r>
    <w:r w:rsidRPr="002552F5">
      <w:fldChar w:fldCharType="end"/>
    </w:r>
  </w:p>
  <w:p w14:paraId="675B635A" w14:textId="77777777" w:rsidR="00124FB8" w:rsidRPr="002552F5" w:rsidRDefault="00124FB8" w:rsidP="002552F5"/>
  <w:p w14:paraId="37FF679C" w14:textId="77777777" w:rsidR="00124FB8" w:rsidRPr="002552F5" w:rsidRDefault="00124FB8" w:rsidP="002552F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58464" w14:textId="77777777" w:rsidR="00124FB8" w:rsidRPr="002552F5" w:rsidRDefault="00124FB8" w:rsidP="002552F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97EF4" w14:textId="77777777" w:rsidR="00124FB8" w:rsidRPr="002552F5" w:rsidRDefault="00124FB8" w:rsidP="002552F5">
    <w:r w:rsidRPr="002552F5">
      <w:t>_____________Заказчик</w:t>
    </w:r>
    <w:r w:rsidRPr="002552F5">
      <w:tab/>
    </w:r>
    <w:r w:rsidRPr="002552F5">
      <w:tab/>
      <w:t>______________ Исполнитель</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EC90C" w14:textId="77777777" w:rsidR="00DE6419" w:rsidRDefault="00DE6419">
      <w:r>
        <w:separator/>
      </w:r>
    </w:p>
  </w:footnote>
  <w:footnote w:type="continuationSeparator" w:id="0">
    <w:p w14:paraId="401636E1" w14:textId="77777777" w:rsidR="00DE6419" w:rsidRDefault="00DE6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4B5"/>
    <w:multiLevelType w:val="hybridMultilevel"/>
    <w:tmpl w:val="D81E86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9C75000"/>
    <w:multiLevelType w:val="multilevel"/>
    <w:tmpl w:val="9A924B06"/>
    <w:lvl w:ilvl="0">
      <w:start w:val="1"/>
      <w:numFmt w:val="decimal"/>
      <w:lvlText w:val="%1."/>
      <w:lvlJc w:val="left"/>
      <w:pPr>
        <w:ind w:left="928" w:hanging="360"/>
      </w:pPr>
      <w:rPr>
        <w:rFonts w:cs="Times New Roman" w:hint="default"/>
        <w:b/>
      </w:rPr>
    </w:lvl>
    <w:lvl w:ilvl="1">
      <w:start w:val="1"/>
      <w:numFmt w:val="decimal"/>
      <w:isLgl/>
      <w:lvlText w:val="%1.%2."/>
      <w:lvlJc w:val="left"/>
      <w:pPr>
        <w:ind w:left="928"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62C537A"/>
    <w:multiLevelType w:val="multilevel"/>
    <w:tmpl w:val="9F1EEF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9C537F"/>
    <w:multiLevelType w:val="hybridMultilevel"/>
    <w:tmpl w:val="0DAAAFBC"/>
    <w:lvl w:ilvl="0" w:tplc="D5FA87C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1D784C3D"/>
    <w:multiLevelType w:val="hybridMultilevel"/>
    <w:tmpl w:val="23724B38"/>
    <w:lvl w:ilvl="0" w:tplc="A0241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6768F4"/>
    <w:multiLevelType w:val="hybridMultilevel"/>
    <w:tmpl w:val="6A84C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792207"/>
    <w:multiLevelType w:val="multilevel"/>
    <w:tmpl w:val="4790B2B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288"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061223"/>
    <w:multiLevelType w:val="hybridMultilevel"/>
    <w:tmpl w:val="104A3D4E"/>
    <w:lvl w:ilvl="0" w:tplc="9ACAB8DC">
      <w:start w:val="1"/>
      <w:numFmt w:val="bullet"/>
      <w:lvlText w:val="–"/>
      <w:lvlJc w:val="left"/>
      <w:pPr>
        <w:ind w:left="720" w:hanging="360"/>
      </w:pPr>
      <w:rPr>
        <w:rFonts w:ascii="Swis721 LtCn BT" w:hAnsi="Swis721 LtCn BT"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738529C"/>
    <w:multiLevelType w:val="hybridMultilevel"/>
    <w:tmpl w:val="311C7A0A"/>
    <w:lvl w:ilvl="0" w:tplc="B4906A9A">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3521676C"/>
    <w:multiLevelType w:val="hybridMultilevel"/>
    <w:tmpl w:val="F4CCD23C"/>
    <w:lvl w:ilvl="0" w:tplc="8440271E">
      <w:start w:val="1"/>
      <w:numFmt w:val="decimal"/>
      <w:lvlText w:val="%1."/>
      <w:lvlJc w:val="left"/>
      <w:pPr>
        <w:ind w:left="780" w:hanging="42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53457E9"/>
    <w:multiLevelType w:val="hybridMultilevel"/>
    <w:tmpl w:val="BB066EF6"/>
    <w:lvl w:ilvl="0" w:tplc="6E808BD0">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6B27738"/>
    <w:multiLevelType w:val="multilevel"/>
    <w:tmpl w:val="C2C6DD16"/>
    <w:lvl w:ilvl="0">
      <w:start w:val="1"/>
      <w:numFmt w:val="upperRoman"/>
      <w:lvlText w:val="%1."/>
      <w:lvlJc w:val="left"/>
      <w:pPr>
        <w:ind w:left="1080" w:hanging="72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6D24A7D"/>
    <w:multiLevelType w:val="hybridMultilevel"/>
    <w:tmpl w:val="7C94D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B333F3"/>
    <w:multiLevelType w:val="hybridMultilevel"/>
    <w:tmpl w:val="19D8DE36"/>
    <w:lvl w:ilvl="0" w:tplc="0419000F">
      <w:start w:val="1"/>
      <w:numFmt w:val="decimal"/>
      <w:lvlText w:val="%1."/>
      <w:lvlJc w:val="left"/>
      <w:pPr>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6BD1310"/>
    <w:multiLevelType w:val="hybridMultilevel"/>
    <w:tmpl w:val="66065764"/>
    <w:lvl w:ilvl="0" w:tplc="E494B1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4AB40EA2"/>
    <w:multiLevelType w:val="hybridMultilevel"/>
    <w:tmpl w:val="26C4A94C"/>
    <w:lvl w:ilvl="0" w:tplc="9ACAB8DC">
      <w:start w:val="1"/>
      <w:numFmt w:val="bullet"/>
      <w:lvlText w:val="–"/>
      <w:lvlJc w:val="left"/>
      <w:pPr>
        <w:ind w:left="720" w:hanging="360"/>
      </w:pPr>
      <w:rPr>
        <w:rFonts w:ascii="Swis721 LtCn BT" w:hAnsi="Swis721 LtCn BT"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C0C3FF0"/>
    <w:multiLevelType w:val="hybridMultilevel"/>
    <w:tmpl w:val="2A242A86"/>
    <w:lvl w:ilvl="0" w:tplc="5C4433A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4D0E65A2"/>
    <w:multiLevelType w:val="hybridMultilevel"/>
    <w:tmpl w:val="37A4DC7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A60D32"/>
    <w:multiLevelType w:val="hybridMultilevel"/>
    <w:tmpl w:val="68A04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3C137E"/>
    <w:multiLevelType w:val="hybridMultilevel"/>
    <w:tmpl w:val="F5C40348"/>
    <w:lvl w:ilvl="0" w:tplc="18665EA2">
      <w:start w:val="1"/>
      <w:numFmt w:val="decimal"/>
      <w:lvlText w:val="%1."/>
      <w:lvlJc w:val="right"/>
      <w:pPr>
        <w:ind w:left="429" w:hanging="360"/>
      </w:pPr>
      <w:rPr>
        <w:rFonts w:hint="default"/>
        <w:sz w:val="1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A1074B"/>
    <w:multiLevelType w:val="hybridMultilevel"/>
    <w:tmpl w:val="CDA84A86"/>
    <w:lvl w:ilvl="0" w:tplc="5C4433A0">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1" w15:restartNumberingAfterBreak="0">
    <w:nsid w:val="55FC73A5"/>
    <w:multiLevelType w:val="hybridMultilevel"/>
    <w:tmpl w:val="2AA0879C"/>
    <w:lvl w:ilvl="0" w:tplc="DDF21670">
      <w:start w:val="1"/>
      <w:numFmt w:val="russianLower"/>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6582451"/>
    <w:multiLevelType w:val="hybridMultilevel"/>
    <w:tmpl w:val="E362C296"/>
    <w:lvl w:ilvl="0" w:tplc="6E808BD0">
      <w:start w:val="1"/>
      <w:numFmt w:val="russianLower"/>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F7B3BC0"/>
    <w:multiLevelType w:val="hybridMultilevel"/>
    <w:tmpl w:val="EA8CB714"/>
    <w:lvl w:ilvl="0" w:tplc="6E808BD0">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3550D0E"/>
    <w:multiLevelType w:val="hybridMultilevel"/>
    <w:tmpl w:val="F7169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721C54"/>
    <w:multiLevelType w:val="multilevel"/>
    <w:tmpl w:val="C80AE0AE"/>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b/>
      </w:rPr>
    </w:lvl>
    <w:lvl w:ilvl="2">
      <w:start w:val="2"/>
      <w:numFmt w:val="decimal"/>
      <w:lvlText w:val="%1.%2.%3."/>
      <w:lvlJc w:val="left"/>
      <w:pPr>
        <w:ind w:left="1571" w:hanging="720"/>
      </w:pPr>
      <w:rPr>
        <w:rFonts w:hint="default"/>
        <w:b w:val="0"/>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6A7302E4"/>
    <w:multiLevelType w:val="multilevel"/>
    <w:tmpl w:val="2AEADF5E"/>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8F679A"/>
    <w:multiLevelType w:val="multilevel"/>
    <w:tmpl w:val="62920EF2"/>
    <w:lvl w:ilvl="0">
      <w:start w:val="1"/>
      <w:numFmt w:val="decimal"/>
      <w:lvlText w:val="%1."/>
      <w:lvlJc w:val="left"/>
      <w:pPr>
        <w:ind w:left="720" w:hanging="720"/>
      </w:pPr>
      <w:rPr>
        <w:rFonts w:hint="default"/>
      </w:rPr>
    </w:lvl>
    <w:lvl w:ilvl="1">
      <w:start w:val="1"/>
      <w:numFmt w:val="decimal"/>
      <w:lvlText w:val="%1.%2."/>
      <w:lvlJc w:val="left"/>
      <w:pPr>
        <w:ind w:left="436"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28" w15:restartNumberingAfterBreak="0">
    <w:nsid w:val="6FE8588A"/>
    <w:multiLevelType w:val="hybridMultilevel"/>
    <w:tmpl w:val="3676A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2819C3"/>
    <w:multiLevelType w:val="hybridMultilevel"/>
    <w:tmpl w:val="EBF8514C"/>
    <w:lvl w:ilvl="0" w:tplc="6E808BD0">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5591B9D"/>
    <w:multiLevelType w:val="hybridMultilevel"/>
    <w:tmpl w:val="37A4DC7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97E3299"/>
    <w:multiLevelType w:val="hybridMultilevel"/>
    <w:tmpl w:val="BDC267EE"/>
    <w:lvl w:ilvl="0" w:tplc="FFFFFFFF">
      <w:start w:val="1"/>
      <w:numFmt w:val="decimal"/>
      <w:lvlText w:val="%1."/>
      <w:lvlJc w:val="left"/>
      <w:pPr>
        <w:tabs>
          <w:tab w:val="num" w:pos="502"/>
        </w:tabs>
        <w:ind w:left="502"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AFE4087"/>
    <w:multiLevelType w:val="hybridMultilevel"/>
    <w:tmpl w:val="74A8C720"/>
    <w:lvl w:ilvl="0" w:tplc="A0241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025477"/>
    <w:multiLevelType w:val="hybridMultilevel"/>
    <w:tmpl w:val="731A0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42246A"/>
    <w:multiLevelType w:val="hybridMultilevel"/>
    <w:tmpl w:val="7BF861E6"/>
    <w:lvl w:ilvl="0" w:tplc="5C4433A0">
      <w:start w:val="1"/>
      <w:numFmt w:val="bullet"/>
      <w:lvlText w:val=""/>
      <w:lvlJc w:val="left"/>
      <w:pPr>
        <w:ind w:left="644"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11"/>
  </w:num>
  <w:num w:numId="2">
    <w:abstractNumId w:val="6"/>
  </w:num>
  <w:num w:numId="3">
    <w:abstractNumId w:val="1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0"/>
  </w:num>
  <w:num w:numId="15">
    <w:abstractNumId w:val="16"/>
  </w:num>
  <w:num w:numId="16">
    <w:abstractNumId w:val="34"/>
  </w:num>
  <w:num w:numId="17">
    <w:abstractNumId w:val="32"/>
  </w:num>
  <w:num w:numId="18">
    <w:abstractNumId w:val="4"/>
  </w:num>
  <w:num w:numId="19">
    <w:abstractNumId w:val="30"/>
  </w:num>
  <w:num w:numId="20">
    <w:abstractNumId w:val="17"/>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5"/>
  </w:num>
  <w:num w:numId="24">
    <w:abstractNumId w:val="9"/>
  </w:num>
  <w:num w:numId="25">
    <w:abstractNumId w:val="26"/>
  </w:num>
  <w:num w:numId="26">
    <w:abstractNumId w:val="2"/>
  </w:num>
  <w:num w:numId="27">
    <w:abstractNumId w:val="1"/>
  </w:num>
  <w:num w:numId="28">
    <w:abstractNumId w:val="14"/>
  </w:num>
  <w:num w:numId="29">
    <w:abstractNumId w:val="8"/>
  </w:num>
  <w:num w:numId="30">
    <w:abstractNumId w:val="0"/>
  </w:num>
  <w:num w:numId="31">
    <w:abstractNumId w:val="18"/>
  </w:num>
  <w:num w:numId="32">
    <w:abstractNumId w:val="5"/>
  </w:num>
  <w:num w:numId="33">
    <w:abstractNumId w:val="12"/>
  </w:num>
  <w:num w:numId="34">
    <w:abstractNumId w:val="28"/>
  </w:num>
  <w:num w:numId="35">
    <w:abstractNumId w:val="3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B58"/>
    <w:rsid w:val="00013DE2"/>
    <w:rsid w:val="00017211"/>
    <w:rsid w:val="00042D49"/>
    <w:rsid w:val="00056FB8"/>
    <w:rsid w:val="000836A4"/>
    <w:rsid w:val="000A7CB3"/>
    <w:rsid w:val="000C2F6E"/>
    <w:rsid w:val="000E0821"/>
    <w:rsid w:val="00100B67"/>
    <w:rsid w:val="00124FB8"/>
    <w:rsid w:val="00163AB2"/>
    <w:rsid w:val="001724D1"/>
    <w:rsid w:val="00193AC2"/>
    <w:rsid w:val="001B16AE"/>
    <w:rsid w:val="001C25FC"/>
    <w:rsid w:val="001E57D5"/>
    <w:rsid w:val="001F0CC5"/>
    <w:rsid w:val="001F20E9"/>
    <w:rsid w:val="001F5642"/>
    <w:rsid w:val="0020044B"/>
    <w:rsid w:val="00226E60"/>
    <w:rsid w:val="00237C84"/>
    <w:rsid w:val="002552F5"/>
    <w:rsid w:val="00261D4B"/>
    <w:rsid w:val="00281826"/>
    <w:rsid w:val="0029281B"/>
    <w:rsid w:val="002D3A22"/>
    <w:rsid w:val="002E77F5"/>
    <w:rsid w:val="003406CF"/>
    <w:rsid w:val="003A0977"/>
    <w:rsid w:val="003C1E36"/>
    <w:rsid w:val="00413061"/>
    <w:rsid w:val="00417D70"/>
    <w:rsid w:val="00427DC1"/>
    <w:rsid w:val="0045097D"/>
    <w:rsid w:val="00451E20"/>
    <w:rsid w:val="00481B58"/>
    <w:rsid w:val="004C5A7E"/>
    <w:rsid w:val="004D29D7"/>
    <w:rsid w:val="004D4537"/>
    <w:rsid w:val="004F4817"/>
    <w:rsid w:val="005033A3"/>
    <w:rsid w:val="0052148F"/>
    <w:rsid w:val="00560187"/>
    <w:rsid w:val="00562124"/>
    <w:rsid w:val="00565BF2"/>
    <w:rsid w:val="00573235"/>
    <w:rsid w:val="005912BB"/>
    <w:rsid w:val="005C4923"/>
    <w:rsid w:val="005F6F44"/>
    <w:rsid w:val="00625442"/>
    <w:rsid w:val="006329E2"/>
    <w:rsid w:val="00656E4C"/>
    <w:rsid w:val="006C7FEE"/>
    <w:rsid w:val="006D2DA2"/>
    <w:rsid w:val="006E5472"/>
    <w:rsid w:val="007046E2"/>
    <w:rsid w:val="00704EE9"/>
    <w:rsid w:val="0071723C"/>
    <w:rsid w:val="00732D06"/>
    <w:rsid w:val="007812A2"/>
    <w:rsid w:val="00785E9B"/>
    <w:rsid w:val="007A76DD"/>
    <w:rsid w:val="007D742C"/>
    <w:rsid w:val="008032B8"/>
    <w:rsid w:val="00876257"/>
    <w:rsid w:val="008E755A"/>
    <w:rsid w:val="00910DEB"/>
    <w:rsid w:val="00923256"/>
    <w:rsid w:val="00930BF8"/>
    <w:rsid w:val="00943CE2"/>
    <w:rsid w:val="00950129"/>
    <w:rsid w:val="00974ECF"/>
    <w:rsid w:val="009B0851"/>
    <w:rsid w:val="009C2ADE"/>
    <w:rsid w:val="00A70C9A"/>
    <w:rsid w:val="00A80E68"/>
    <w:rsid w:val="00AC3EF3"/>
    <w:rsid w:val="00AD1F5B"/>
    <w:rsid w:val="00AD41C6"/>
    <w:rsid w:val="00B03F6E"/>
    <w:rsid w:val="00B0697F"/>
    <w:rsid w:val="00B071AA"/>
    <w:rsid w:val="00B256E0"/>
    <w:rsid w:val="00B31A8A"/>
    <w:rsid w:val="00BC36C6"/>
    <w:rsid w:val="00BC4B6C"/>
    <w:rsid w:val="00BD733F"/>
    <w:rsid w:val="00C0129A"/>
    <w:rsid w:val="00C01CEE"/>
    <w:rsid w:val="00C228AA"/>
    <w:rsid w:val="00C37A7E"/>
    <w:rsid w:val="00C52DA8"/>
    <w:rsid w:val="00C75D5B"/>
    <w:rsid w:val="00CA2C97"/>
    <w:rsid w:val="00CA3D4F"/>
    <w:rsid w:val="00CB0E30"/>
    <w:rsid w:val="00CE3D49"/>
    <w:rsid w:val="00D24EA8"/>
    <w:rsid w:val="00D33752"/>
    <w:rsid w:val="00D87D73"/>
    <w:rsid w:val="00DA4B2C"/>
    <w:rsid w:val="00DB6773"/>
    <w:rsid w:val="00DE6419"/>
    <w:rsid w:val="00E23424"/>
    <w:rsid w:val="00E3045D"/>
    <w:rsid w:val="00E44BB2"/>
    <w:rsid w:val="00E87774"/>
    <w:rsid w:val="00EA7F3C"/>
    <w:rsid w:val="00EC2526"/>
    <w:rsid w:val="00F01181"/>
    <w:rsid w:val="00F01445"/>
    <w:rsid w:val="00F12679"/>
    <w:rsid w:val="00F26A84"/>
    <w:rsid w:val="00F33DCE"/>
    <w:rsid w:val="00F34D36"/>
    <w:rsid w:val="00F7021A"/>
    <w:rsid w:val="00F87D30"/>
    <w:rsid w:val="00F919BD"/>
    <w:rsid w:val="00FB1CAE"/>
    <w:rsid w:val="00FB7AC3"/>
    <w:rsid w:val="00FF3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C391"/>
  <w15:docId w15:val="{377983B2-9C26-4D44-A96B-7F79D1E7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E30"/>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параграфа (1.),1"/>
    <w:basedOn w:val="a"/>
    <w:next w:val="a"/>
    <w:link w:val="10"/>
    <w:qFormat/>
    <w:rsid w:val="00CB0E30"/>
    <w:pPr>
      <w:keepNext/>
      <w:spacing w:before="240" w:after="60"/>
      <w:outlineLvl w:val="0"/>
    </w:pPr>
    <w:rPr>
      <w:rFonts w:ascii="Arial" w:hAnsi="Arial" w:cs="Arial"/>
      <w:b/>
      <w:bCs/>
      <w:kern w:val="32"/>
      <w:sz w:val="32"/>
      <w:szCs w:val="32"/>
    </w:rPr>
  </w:style>
  <w:style w:type="paragraph" w:styleId="2">
    <w:name w:val="heading 2"/>
    <w:aliases w:val="H2,H2 Знак,Заголовок 21,h2,h21,5,Заголовок пункта (1.1),2,Заголовок 22,Numbered text 3,H21,H22,h22,H211,h211,H23,H24,H25"/>
    <w:basedOn w:val="a"/>
    <w:next w:val="a"/>
    <w:link w:val="20"/>
    <w:qFormat/>
    <w:rsid w:val="00CB0E30"/>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CB0E30"/>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CB0E30"/>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1 Знак"/>
    <w:basedOn w:val="a0"/>
    <w:link w:val="1"/>
    <w:rsid w:val="00CB0E30"/>
    <w:rPr>
      <w:rFonts w:ascii="Arial" w:eastAsia="Times New Roman" w:hAnsi="Arial" w:cs="Arial"/>
      <w:b/>
      <w:bCs/>
      <w:kern w:val="32"/>
      <w:sz w:val="32"/>
      <w:szCs w:val="32"/>
      <w:lang w:eastAsia="ru-RU"/>
    </w:rPr>
  </w:style>
  <w:style w:type="character" w:customStyle="1" w:styleId="20">
    <w:name w:val="Заголовок 2 Знак"/>
    <w:aliases w:val="H2 Знак1,H2 Знак Знак,Заголовок 21 Знак,h2 Знак,h21 Знак,5 Знак,Заголовок пункта (1.1) Знак,2 Знак,Заголовок 22 Знак,Numbered text 3 Знак,H21 Знак,H22 Знак,h22 Знак,H211 Знак,h211 Знак,H23 Знак,H24 Знак,H25 Знак"/>
    <w:basedOn w:val="a0"/>
    <w:link w:val="2"/>
    <w:rsid w:val="00CB0E30"/>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CB0E30"/>
    <w:rPr>
      <w:rFonts w:ascii="Arial" w:eastAsia="Times New Roman" w:hAnsi="Arial" w:cs="Arial"/>
      <w:b/>
      <w:bCs/>
      <w:sz w:val="26"/>
      <w:szCs w:val="26"/>
      <w:lang w:eastAsia="ru-RU"/>
    </w:rPr>
  </w:style>
  <w:style w:type="character" w:customStyle="1" w:styleId="40">
    <w:name w:val="Заголовок 4 Знак"/>
    <w:basedOn w:val="a0"/>
    <w:link w:val="4"/>
    <w:rsid w:val="00CB0E30"/>
    <w:rPr>
      <w:rFonts w:asciiTheme="majorHAnsi" w:eastAsiaTheme="majorEastAsia" w:hAnsiTheme="majorHAnsi" w:cstheme="majorBidi"/>
      <w:b/>
      <w:bCs/>
      <w:i/>
      <w:iCs/>
      <w:color w:val="4472C4" w:themeColor="accent1"/>
      <w:sz w:val="24"/>
      <w:szCs w:val="24"/>
      <w:lang w:eastAsia="ru-RU"/>
    </w:rPr>
  </w:style>
  <w:style w:type="paragraph" w:styleId="a3">
    <w:name w:val="List Paragraph"/>
    <w:aliases w:val="Маркер,Bullet Number,Нумерованый список,List Paragraph1,Bullet List,FooterText,numbered,lp1"/>
    <w:basedOn w:val="a"/>
    <w:link w:val="a4"/>
    <w:uiPriority w:val="1"/>
    <w:qFormat/>
    <w:rsid w:val="00CB0E30"/>
    <w:pPr>
      <w:ind w:left="708"/>
    </w:pPr>
  </w:style>
  <w:style w:type="character" w:styleId="a5">
    <w:name w:val="footnote reference"/>
    <w:semiHidden/>
    <w:rsid w:val="00CB0E30"/>
    <w:rPr>
      <w:vertAlign w:val="superscript"/>
    </w:rPr>
  </w:style>
  <w:style w:type="paragraph" w:styleId="a6">
    <w:name w:val="footnote text"/>
    <w:basedOn w:val="a"/>
    <w:link w:val="a7"/>
    <w:semiHidden/>
    <w:rsid w:val="00CB0E30"/>
    <w:pPr>
      <w:widowControl w:val="0"/>
      <w:autoSpaceDE w:val="0"/>
      <w:autoSpaceDN w:val="0"/>
    </w:pPr>
    <w:rPr>
      <w:sz w:val="20"/>
      <w:szCs w:val="20"/>
    </w:rPr>
  </w:style>
  <w:style w:type="character" w:customStyle="1" w:styleId="a7">
    <w:name w:val="Текст сноски Знак"/>
    <w:basedOn w:val="a0"/>
    <w:link w:val="a6"/>
    <w:semiHidden/>
    <w:rsid w:val="00CB0E30"/>
    <w:rPr>
      <w:rFonts w:ascii="Times New Roman" w:eastAsia="Times New Roman" w:hAnsi="Times New Roman" w:cs="Times New Roman"/>
      <w:sz w:val="20"/>
      <w:szCs w:val="20"/>
      <w:lang w:eastAsia="ru-RU"/>
    </w:rPr>
  </w:style>
  <w:style w:type="character" w:customStyle="1" w:styleId="a4">
    <w:name w:val="Абзац списка Знак"/>
    <w:aliases w:val="Маркер Знак,Bullet Number Знак,Нумерованый список Знак,List Paragraph1 Знак,Bullet List Знак,FooterText Знак,numbered Знак,lp1 Знак"/>
    <w:basedOn w:val="a0"/>
    <w:link w:val="a3"/>
    <w:uiPriority w:val="34"/>
    <w:locked/>
    <w:rsid w:val="00CB0E30"/>
    <w:rPr>
      <w:rFonts w:ascii="Times New Roman" w:eastAsia="Times New Roman" w:hAnsi="Times New Roman" w:cs="Times New Roman"/>
      <w:sz w:val="24"/>
      <w:szCs w:val="24"/>
      <w:lang w:eastAsia="ru-RU"/>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locked/>
    <w:rsid w:val="00CB0E30"/>
    <w:rPr>
      <w:rFonts w:ascii="Times New Roman" w:eastAsia="MS Mincho" w:hAnsi="Times New Roman" w:cs="Times New Roman"/>
      <w:sz w:val="26"/>
      <w:szCs w:val="24"/>
      <w:lang w:eastAsia="ru-RU"/>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unhideWhenUsed/>
    <w:rsid w:val="00CB0E30"/>
    <w:pPr>
      <w:ind w:firstLine="709"/>
      <w:jc w:val="both"/>
    </w:pPr>
    <w:rPr>
      <w:rFonts w:eastAsia="MS Mincho"/>
      <w:sz w:val="26"/>
    </w:rPr>
  </w:style>
  <w:style w:type="character" w:customStyle="1" w:styleId="11">
    <w:name w:val="Основной текст Знак1"/>
    <w:basedOn w:val="a0"/>
    <w:uiPriority w:val="99"/>
    <w:semiHidden/>
    <w:rsid w:val="00CB0E30"/>
    <w:rPr>
      <w:rFonts w:ascii="Times New Roman" w:eastAsia="Times New Roman" w:hAnsi="Times New Roman" w:cs="Times New Roman"/>
      <w:sz w:val="24"/>
      <w:szCs w:val="24"/>
      <w:lang w:eastAsia="ru-RU"/>
    </w:rPr>
  </w:style>
  <w:style w:type="paragraph" w:styleId="aa">
    <w:name w:val="Balloon Text"/>
    <w:basedOn w:val="a"/>
    <w:link w:val="ab"/>
    <w:semiHidden/>
    <w:unhideWhenUsed/>
    <w:rsid w:val="00CB0E30"/>
    <w:rPr>
      <w:rFonts w:ascii="Tahoma" w:hAnsi="Tahoma" w:cs="Tahoma"/>
      <w:sz w:val="16"/>
      <w:szCs w:val="16"/>
    </w:rPr>
  </w:style>
  <w:style w:type="character" w:customStyle="1" w:styleId="ab">
    <w:name w:val="Текст выноски Знак"/>
    <w:basedOn w:val="a0"/>
    <w:link w:val="aa"/>
    <w:semiHidden/>
    <w:rsid w:val="00CB0E30"/>
    <w:rPr>
      <w:rFonts w:ascii="Tahoma" w:eastAsia="Times New Roman" w:hAnsi="Tahoma" w:cs="Tahoma"/>
      <w:sz w:val="16"/>
      <w:szCs w:val="16"/>
      <w:lang w:eastAsia="ru-RU"/>
    </w:rPr>
  </w:style>
  <w:style w:type="character" w:styleId="ac">
    <w:name w:val="Hyperlink"/>
    <w:rsid w:val="00CB0E30"/>
    <w:rPr>
      <w:color w:val="0000FF"/>
      <w:u w:val="single"/>
    </w:rPr>
  </w:style>
  <w:style w:type="paragraph" w:styleId="ad">
    <w:name w:val="caption"/>
    <w:basedOn w:val="a"/>
    <w:next w:val="a"/>
    <w:autoRedefine/>
    <w:unhideWhenUsed/>
    <w:qFormat/>
    <w:rsid w:val="00CB0E30"/>
    <w:pPr>
      <w:keepNext/>
      <w:spacing w:before="120" w:after="120" w:line="288" w:lineRule="auto"/>
      <w:jc w:val="center"/>
    </w:pPr>
    <w:rPr>
      <w:rFonts w:eastAsia="Calibri"/>
      <w:b/>
      <w:bCs/>
      <w:sz w:val="28"/>
      <w:szCs w:val="28"/>
      <w:lang w:eastAsia="en-US"/>
    </w:rPr>
  </w:style>
  <w:style w:type="paragraph" w:styleId="21">
    <w:name w:val="Body Text 2"/>
    <w:basedOn w:val="a"/>
    <w:link w:val="22"/>
    <w:unhideWhenUsed/>
    <w:rsid w:val="00CB0E30"/>
    <w:pPr>
      <w:spacing w:after="120" w:line="480" w:lineRule="auto"/>
    </w:pPr>
  </w:style>
  <w:style w:type="character" w:customStyle="1" w:styleId="22">
    <w:name w:val="Основной текст 2 Знак"/>
    <w:basedOn w:val="a0"/>
    <w:link w:val="21"/>
    <w:rsid w:val="00CB0E30"/>
    <w:rPr>
      <w:rFonts w:ascii="Times New Roman" w:eastAsia="Times New Roman" w:hAnsi="Times New Roman" w:cs="Times New Roman"/>
      <w:sz w:val="24"/>
      <w:szCs w:val="24"/>
      <w:lang w:eastAsia="ru-RU"/>
    </w:rPr>
  </w:style>
  <w:style w:type="paragraph" w:styleId="ae">
    <w:name w:val="Title"/>
    <w:basedOn w:val="a"/>
    <w:link w:val="af"/>
    <w:qFormat/>
    <w:rsid w:val="00CB0E30"/>
    <w:pPr>
      <w:ind w:right="-346"/>
      <w:jc w:val="center"/>
    </w:pPr>
    <w:rPr>
      <w:b/>
      <w:bCs/>
      <w:color w:val="000000"/>
      <w:sz w:val="28"/>
      <w:szCs w:val="28"/>
    </w:rPr>
  </w:style>
  <w:style w:type="character" w:customStyle="1" w:styleId="af">
    <w:name w:val="Заголовок Знак"/>
    <w:basedOn w:val="a0"/>
    <w:link w:val="ae"/>
    <w:rsid w:val="00CB0E30"/>
    <w:rPr>
      <w:rFonts w:ascii="Times New Roman" w:eastAsia="Times New Roman" w:hAnsi="Times New Roman" w:cs="Times New Roman"/>
      <w:b/>
      <w:bCs/>
      <w:color w:val="000000"/>
      <w:sz w:val="28"/>
      <w:szCs w:val="28"/>
      <w:lang w:eastAsia="ru-RU"/>
    </w:rPr>
  </w:style>
  <w:style w:type="paragraph" w:customStyle="1" w:styleId="12">
    <w:name w:val="Обычный1"/>
    <w:link w:val="Normal"/>
    <w:rsid w:val="00CB0E3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2"/>
    <w:rsid w:val="00CB0E30"/>
    <w:rPr>
      <w:rFonts w:ascii="Times New Roman" w:eastAsia="Times New Roman" w:hAnsi="Times New Roman" w:cs="Times New Roman"/>
      <w:sz w:val="28"/>
      <w:szCs w:val="20"/>
      <w:lang w:eastAsia="ru-RU"/>
    </w:rPr>
  </w:style>
  <w:style w:type="paragraph" w:styleId="af0">
    <w:name w:val="Body Text Indent"/>
    <w:basedOn w:val="a"/>
    <w:link w:val="af1"/>
    <w:uiPriority w:val="99"/>
    <w:semiHidden/>
    <w:unhideWhenUsed/>
    <w:rsid w:val="00CB0E30"/>
    <w:pPr>
      <w:spacing w:after="120"/>
      <w:ind w:left="283"/>
    </w:pPr>
  </w:style>
  <w:style w:type="character" w:customStyle="1" w:styleId="af1">
    <w:name w:val="Основной текст с отступом Знак"/>
    <w:basedOn w:val="a0"/>
    <w:link w:val="af0"/>
    <w:uiPriority w:val="99"/>
    <w:semiHidden/>
    <w:rsid w:val="00CB0E30"/>
    <w:rPr>
      <w:rFonts w:ascii="Times New Roman" w:eastAsia="Times New Roman" w:hAnsi="Times New Roman" w:cs="Times New Roman"/>
      <w:sz w:val="24"/>
      <w:szCs w:val="24"/>
      <w:lang w:eastAsia="ru-RU"/>
    </w:rPr>
  </w:style>
  <w:style w:type="paragraph" w:customStyle="1" w:styleId="ConsNormal">
    <w:name w:val="ConsNormal"/>
    <w:uiPriority w:val="99"/>
    <w:rsid w:val="00CB0E30"/>
    <w:pPr>
      <w:widowControl w:val="0"/>
      <w:snapToGrid w:val="0"/>
      <w:spacing w:after="0" w:line="240" w:lineRule="auto"/>
      <w:ind w:firstLine="720"/>
    </w:pPr>
    <w:rPr>
      <w:rFonts w:ascii="Arial" w:eastAsia="Times New Roman" w:hAnsi="Arial" w:cs="Arial"/>
      <w:sz w:val="20"/>
      <w:szCs w:val="20"/>
      <w:lang w:eastAsia="ru-RU"/>
    </w:rPr>
  </w:style>
  <w:style w:type="paragraph" w:customStyle="1" w:styleId="110">
    <w:name w:val="Обычный11"/>
    <w:rsid w:val="00CB0E30"/>
    <w:pPr>
      <w:spacing w:after="0" w:line="240" w:lineRule="auto"/>
      <w:ind w:firstLine="720"/>
      <w:jc w:val="both"/>
    </w:pPr>
    <w:rPr>
      <w:rFonts w:ascii="Times New Roman" w:eastAsia="Times New Roman" w:hAnsi="Times New Roman" w:cs="Times New Roman"/>
      <w:sz w:val="28"/>
      <w:szCs w:val="20"/>
      <w:lang w:eastAsia="ru-RU"/>
    </w:rPr>
  </w:style>
  <w:style w:type="character" w:styleId="af2">
    <w:name w:val="annotation reference"/>
    <w:basedOn w:val="a0"/>
    <w:unhideWhenUsed/>
    <w:rsid w:val="00CB0E30"/>
    <w:rPr>
      <w:sz w:val="16"/>
      <w:szCs w:val="16"/>
    </w:rPr>
  </w:style>
  <w:style w:type="paragraph" w:styleId="af3">
    <w:name w:val="annotation text"/>
    <w:basedOn w:val="a"/>
    <w:link w:val="af4"/>
    <w:unhideWhenUsed/>
    <w:rsid w:val="00CB0E30"/>
    <w:rPr>
      <w:sz w:val="20"/>
      <w:szCs w:val="20"/>
    </w:rPr>
  </w:style>
  <w:style w:type="character" w:customStyle="1" w:styleId="af4">
    <w:name w:val="Текст примечания Знак"/>
    <w:basedOn w:val="a0"/>
    <w:link w:val="af3"/>
    <w:rsid w:val="00CB0E30"/>
    <w:rPr>
      <w:rFonts w:ascii="Times New Roman" w:eastAsia="Times New Roman" w:hAnsi="Times New Roman" w:cs="Times New Roman"/>
      <w:sz w:val="20"/>
      <w:szCs w:val="20"/>
      <w:lang w:eastAsia="ru-RU"/>
    </w:rPr>
  </w:style>
  <w:style w:type="paragraph" w:styleId="af5">
    <w:name w:val="annotation subject"/>
    <w:basedOn w:val="af3"/>
    <w:next w:val="af3"/>
    <w:link w:val="af6"/>
    <w:unhideWhenUsed/>
    <w:rsid w:val="00CB0E30"/>
    <w:rPr>
      <w:b/>
      <w:bCs/>
    </w:rPr>
  </w:style>
  <w:style w:type="character" w:customStyle="1" w:styleId="af6">
    <w:name w:val="Тема примечания Знак"/>
    <w:basedOn w:val="af4"/>
    <w:link w:val="af5"/>
    <w:rsid w:val="00CB0E30"/>
    <w:rPr>
      <w:rFonts w:ascii="Times New Roman" w:eastAsia="Times New Roman" w:hAnsi="Times New Roman" w:cs="Times New Roman"/>
      <w:b/>
      <w:bCs/>
      <w:sz w:val="20"/>
      <w:szCs w:val="20"/>
      <w:lang w:eastAsia="ru-RU"/>
    </w:rPr>
  </w:style>
  <w:style w:type="paragraph" w:styleId="af7">
    <w:name w:val="footer"/>
    <w:basedOn w:val="a"/>
    <w:link w:val="af8"/>
    <w:rsid w:val="00CB0E30"/>
    <w:pPr>
      <w:widowControl w:val="0"/>
      <w:tabs>
        <w:tab w:val="center" w:pos="4153"/>
        <w:tab w:val="right" w:pos="8306"/>
      </w:tabs>
      <w:autoSpaceDE w:val="0"/>
      <w:autoSpaceDN w:val="0"/>
      <w:adjustRightInd w:val="0"/>
    </w:pPr>
    <w:rPr>
      <w:sz w:val="20"/>
      <w:szCs w:val="20"/>
    </w:rPr>
  </w:style>
  <w:style w:type="character" w:customStyle="1" w:styleId="af8">
    <w:name w:val="Нижний колонтитул Знак"/>
    <w:basedOn w:val="a0"/>
    <w:link w:val="af7"/>
    <w:rsid w:val="00CB0E30"/>
    <w:rPr>
      <w:rFonts w:ascii="Times New Roman" w:eastAsia="Times New Roman" w:hAnsi="Times New Roman" w:cs="Times New Roman"/>
      <w:sz w:val="20"/>
      <w:szCs w:val="20"/>
      <w:lang w:eastAsia="ru-RU"/>
    </w:rPr>
  </w:style>
  <w:style w:type="character" w:styleId="af9">
    <w:name w:val="page number"/>
    <w:basedOn w:val="a0"/>
    <w:rsid w:val="00CB0E30"/>
  </w:style>
  <w:style w:type="paragraph" w:styleId="afa">
    <w:name w:val="Block Text"/>
    <w:basedOn w:val="a"/>
    <w:rsid w:val="00CB0E30"/>
    <w:pPr>
      <w:widowControl w:val="0"/>
      <w:shd w:val="clear" w:color="auto" w:fill="FFFFFF"/>
      <w:tabs>
        <w:tab w:val="left" w:pos="7421"/>
      </w:tabs>
      <w:autoSpaceDE w:val="0"/>
      <w:autoSpaceDN w:val="0"/>
      <w:adjustRightInd w:val="0"/>
      <w:ind w:left="-284" w:right="-290"/>
      <w:jc w:val="both"/>
    </w:pPr>
    <w:rPr>
      <w:color w:val="000000"/>
      <w:spacing w:val="3"/>
      <w:szCs w:val="20"/>
    </w:rPr>
  </w:style>
  <w:style w:type="paragraph" w:customStyle="1" w:styleId="ConsPlusNonformat">
    <w:name w:val="ConsPlusNonformat"/>
    <w:rsid w:val="00CB0E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Indent 2"/>
    <w:basedOn w:val="a"/>
    <w:link w:val="24"/>
    <w:rsid w:val="00CB0E30"/>
    <w:pPr>
      <w:shd w:val="clear" w:color="auto" w:fill="FFFFFF"/>
      <w:tabs>
        <w:tab w:val="left" w:pos="446"/>
      </w:tabs>
      <w:ind w:left="-180"/>
      <w:jc w:val="both"/>
    </w:pPr>
    <w:rPr>
      <w:color w:val="000000"/>
      <w:spacing w:val="6"/>
      <w:sz w:val="28"/>
      <w:szCs w:val="14"/>
    </w:rPr>
  </w:style>
  <w:style w:type="character" w:customStyle="1" w:styleId="24">
    <w:name w:val="Основной текст с отступом 2 Знак"/>
    <w:basedOn w:val="a0"/>
    <w:link w:val="23"/>
    <w:rsid w:val="00CB0E30"/>
    <w:rPr>
      <w:rFonts w:ascii="Times New Roman" w:eastAsia="Times New Roman" w:hAnsi="Times New Roman" w:cs="Times New Roman"/>
      <w:color w:val="000000"/>
      <w:spacing w:val="6"/>
      <w:sz w:val="28"/>
      <w:szCs w:val="14"/>
      <w:shd w:val="clear" w:color="auto" w:fill="FFFFFF"/>
      <w:lang w:eastAsia="ru-RU"/>
    </w:rPr>
  </w:style>
  <w:style w:type="paragraph" w:styleId="afb">
    <w:name w:val="header"/>
    <w:aliases w:val="TI Upper Header"/>
    <w:basedOn w:val="a"/>
    <w:link w:val="afc"/>
    <w:rsid w:val="00CB0E30"/>
    <w:pPr>
      <w:widowControl w:val="0"/>
      <w:tabs>
        <w:tab w:val="center" w:pos="4677"/>
        <w:tab w:val="right" w:pos="9355"/>
      </w:tabs>
      <w:autoSpaceDE w:val="0"/>
      <w:autoSpaceDN w:val="0"/>
      <w:adjustRightInd w:val="0"/>
    </w:pPr>
    <w:rPr>
      <w:sz w:val="20"/>
      <w:szCs w:val="20"/>
    </w:rPr>
  </w:style>
  <w:style w:type="character" w:customStyle="1" w:styleId="afc">
    <w:name w:val="Верхний колонтитул Знак"/>
    <w:aliases w:val="TI Upper Header Знак"/>
    <w:basedOn w:val="a0"/>
    <w:link w:val="afb"/>
    <w:rsid w:val="00CB0E30"/>
    <w:rPr>
      <w:rFonts w:ascii="Times New Roman" w:eastAsia="Times New Roman" w:hAnsi="Times New Roman" w:cs="Times New Roman"/>
      <w:sz w:val="20"/>
      <w:szCs w:val="20"/>
      <w:lang w:eastAsia="ru-RU"/>
    </w:rPr>
  </w:style>
  <w:style w:type="paragraph" w:styleId="31">
    <w:name w:val="Body Text Indent 3"/>
    <w:basedOn w:val="a"/>
    <w:link w:val="32"/>
    <w:rsid w:val="00CB0E30"/>
    <w:pPr>
      <w:widowControl w:val="0"/>
      <w:autoSpaceDE w:val="0"/>
      <w:autoSpaceDN w:val="0"/>
      <w:adjustRightInd w:val="0"/>
      <w:spacing w:after="120"/>
      <w:ind w:left="283"/>
    </w:pPr>
    <w:rPr>
      <w:sz w:val="16"/>
      <w:szCs w:val="16"/>
    </w:rPr>
  </w:style>
  <w:style w:type="character" w:customStyle="1" w:styleId="32">
    <w:name w:val="Основной текст с отступом 3 Знак"/>
    <w:basedOn w:val="a0"/>
    <w:link w:val="31"/>
    <w:rsid w:val="00CB0E30"/>
    <w:rPr>
      <w:rFonts w:ascii="Times New Roman" w:eastAsia="Times New Roman" w:hAnsi="Times New Roman" w:cs="Times New Roman"/>
      <w:sz w:val="16"/>
      <w:szCs w:val="16"/>
      <w:lang w:eastAsia="ru-RU"/>
    </w:rPr>
  </w:style>
  <w:style w:type="table" w:styleId="afd">
    <w:name w:val="Table Grid"/>
    <w:basedOn w:val="a1"/>
    <w:uiPriority w:val="59"/>
    <w:rsid w:val="00CB0E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CB0E30"/>
    <w:pPr>
      <w:widowControl w:val="0"/>
      <w:autoSpaceDE w:val="0"/>
      <w:autoSpaceDN w:val="0"/>
      <w:adjustRightInd w:val="0"/>
      <w:spacing w:after="0" w:line="240" w:lineRule="auto"/>
      <w:jc w:val="both"/>
    </w:pPr>
    <w:rPr>
      <w:rFonts w:ascii="Arial" w:eastAsia="Times New Roman" w:hAnsi="Arial" w:cs="Arial"/>
      <w:b/>
      <w:bCs/>
      <w:sz w:val="16"/>
      <w:szCs w:val="16"/>
      <w:lang w:val="en-US" w:eastAsia="ru-RU"/>
    </w:rPr>
  </w:style>
  <w:style w:type="paragraph" w:customStyle="1" w:styleId="210">
    <w:name w:val="Основной текст 21"/>
    <w:basedOn w:val="a"/>
    <w:rsid w:val="00CB0E30"/>
    <w:pPr>
      <w:ind w:firstLine="709"/>
      <w:jc w:val="both"/>
    </w:pPr>
    <w:rPr>
      <w:b/>
      <w:sz w:val="26"/>
      <w:szCs w:val="20"/>
    </w:rPr>
  </w:style>
  <w:style w:type="paragraph" w:customStyle="1" w:styleId="ConsPlusNormal">
    <w:name w:val="ConsPlusNormal"/>
    <w:rsid w:val="00CB0E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e">
    <w:name w:val="Знак Знак Знак Знак"/>
    <w:basedOn w:val="a"/>
    <w:rsid w:val="00CB0E30"/>
    <w:pPr>
      <w:tabs>
        <w:tab w:val="num" w:pos="360"/>
      </w:tabs>
      <w:spacing w:after="160" w:line="240" w:lineRule="exact"/>
    </w:pPr>
    <w:rPr>
      <w:rFonts w:ascii="Verdana" w:hAnsi="Verdana" w:cs="Verdana"/>
      <w:sz w:val="20"/>
      <w:szCs w:val="20"/>
      <w:lang w:val="en-US" w:eastAsia="en-US"/>
    </w:rPr>
  </w:style>
  <w:style w:type="paragraph" w:customStyle="1" w:styleId="aff">
    <w:name w:val="Знак"/>
    <w:basedOn w:val="a"/>
    <w:rsid w:val="00CB0E30"/>
    <w:pPr>
      <w:tabs>
        <w:tab w:val="num" w:pos="360"/>
      </w:tabs>
      <w:spacing w:after="160" w:line="240" w:lineRule="exact"/>
    </w:pPr>
    <w:rPr>
      <w:rFonts w:ascii="Verdana" w:hAnsi="Verdana" w:cs="Verdana"/>
      <w:sz w:val="20"/>
      <w:szCs w:val="20"/>
      <w:lang w:val="en-US" w:eastAsia="en-US"/>
    </w:rPr>
  </w:style>
  <w:style w:type="paragraph" w:customStyle="1" w:styleId="aff0">
    <w:name w:val="Пункт"/>
    <w:basedOn w:val="a"/>
    <w:link w:val="13"/>
    <w:rsid w:val="00CB0E30"/>
    <w:pPr>
      <w:tabs>
        <w:tab w:val="num" w:pos="1494"/>
      </w:tabs>
      <w:spacing w:line="360" w:lineRule="auto"/>
      <w:ind w:left="1494" w:hanging="1134"/>
      <w:jc w:val="both"/>
    </w:pPr>
    <w:rPr>
      <w:snapToGrid w:val="0"/>
      <w:sz w:val="28"/>
      <w:szCs w:val="20"/>
    </w:rPr>
  </w:style>
  <w:style w:type="paragraph" w:customStyle="1" w:styleId="aff1">
    <w:name w:val="Подподпункт"/>
    <w:basedOn w:val="a"/>
    <w:link w:val="aff2"/>
    <w:rsid w:val="00CB0E30"/>
    <w:pPr>
      <w:tabs>
        <w:tab w:val="num" w:pos="1701"/>
      </w:tabs>
      <w:spacing w:line="360" w:lineRule="auto"/>
      <w:ind w:left="1701" w:hanging="567"/>
      <w:jc w:val="both"/>
    </w:pPr>
    <w:rPr>
      <w:snapToGrid w:val="0"/>
      <w:sz w:val="28"/>
      <w:szCs w:val="20"/>
    </w:rPr>
  </w:style>
  <w:style w:type="paragraph" w:customStyle="1" w:styleId="aff3">
    <w:name w:val="Знак Знак Знак Знак Знак Знак Знак"/>
    <w:basedOn w:val="a"/>
    <w:rsid w:val="00CB0E30"/>
    <w:pPr>
      <w:tabs>
        <w:tab w:val="num" w:pos="360"/>
      </w:tabs>
      <w:spacing w:before="100" w:beforeAutospacing="1" w:after="100" w:afterAutospacing="1" w:line="240" w:lineRule="exact"/>
      <w:jc w:val="both"/>
    </w:pPr>
    <w:rPr>
      <w:rFonts w:ascii="Verdana" w:hAnsi="Verdana" w:cs="Verdana"/>
      <w:sz w:val="20"/>
      <w:szCs w:val="20"/>
      <w:lang w:val="en-US" w:eastAsia="en-US"/>
    </w:rPr>
  </w:style>
  <w:style w:type="character" w:customStyle="1" w:styleId="13">
    <w:name w:val="Пункт Знак1"/>
    <w:link w:val="aff0"/>
    <w:rsid w:val="00CB0E30"/>
    <w:rPr>
      <w:rFonts w:ascii="Times New Roman" w:eastAsia="Times New Roman" w:hAnsi="Times New Roman" w:cs="Times New Roman"/>
      <w:snapToGrid w:val="0"/>
      <w:sz w:val="28"/>
      <w:szCs w:val="20"/>
      <w:lang w:eastAsia="ru-RU"/>
    </w:rPr>
  </w:style>
  <w:style w:type="character" w:customStyle="1" w:styleId="aff2">
    <w:name w:val="Подподпункт Знак"/>
    <w:link w:val="aff1"/>
    <w:locked/>
    <w:rsid w:val="00CB0E30"/>
    <w:rPr>
      <w:rFonts w:ascii="Times New Roman" w:eastAsia="Times New Roman" w:hAnsi="Times New Roman" w:cs="Times New Roman"/>
      <w:snapToGrid w:val="0"/>
      <w:sz w:val="28"/>
      <w:szCs w:val="20"/>
      <w:lang w:eastAsia="ru-RU"/>
    </w:rPr>
  </w:style>
  <w:style w:type="character" w:customStyle="1" w:styleId="apple-style-span">
    <w:name w:val="apple-style-span"/>
    <w:basedOn w:val="a0"/>
    <w:rsid w:val="00CB0E30"/>
  </w:style>
  <w:style w:type="paragraph" w:styleId="aff4">
    <w:name w:val="Normal (Web)"/>
    <w:basedOn w:val="a"/>
    <w:uiPriority w:val="99"/>
    <w:rsid w:val="00CB0E30"/>
    <w:pPr>
      <w:spacing w:before="100" w:beforeAutospacing="1" w:after="100" w:afterAutospacing="1"/>
    </w:pPr>
  </w:style>
  <w:style w:type="character" w:styleId="aff5">
    <w:name w:val="Strong"/>
    <w:uiPriority w:val="22"/>
    <w:qFormat/>
    <w:rsid w:val="00CB0E30"/>
    <w:rPr>
      <w:b/>
      <w:bCs/>
    </w:rPr>
  </w:style>
  <w:style w:type="paragraph" w:styleId="aff6">
    <w:name w:val="No Spacing"/>
    <w:qFormat/>
    <w:rsid w:val="00CB0E30"/>
    <w:pPr>
      <w:spacing w:after="0" w:line="240" w:lineRule="auto"/>
    </w:pPr>
    <w:rPr>
      <w:rFonts w:ascii="Calibri" w:eastAsia="Calibri" w:hAnsi="Calibri" w:cs="Times New Roman"/>
    </w:rPr>
  </w:style>
  <w:style w:type="paragraph" w:customStyle="1" w:styleId="14">
    <w:name w:val="Абзац списка1"/>
    <w:aliases w:val="Мой Список"/>
    <w:basedOn w:val="a"/>
    <w:link w:val="ListParagraphChar"/>
    <w:rsid w:val="00BD733F"/>
    <w:pPr>
      <w:ind w:left="708"/>
    </w:pPr>
  </w:style>
  <w:style w:type="character" w:customStyle="1" w:styleId="ListParagraphChar">
    <w:name w:val="List Paragraph Char"/>
    <w:aliases w:val="Мой Список Char"/>
    <w:link w:val="14"/>
    <w:locked/>
    <w:rsid w:val="00BD733F"/>
    <w:rPr>
      <w:rFonts w:ascii="Times New Roman" w:eastAsia="Times New Roman" w:hAnsi="Times New Roman" w:cs="Times New Roman"/>
      <w:sz w:val="24"/>
      <w:szCs w:val="24"/>
      <w:lang w:eastAsia="ru-RU"/>
    </w:rPr>
  </w:style>
  <w:style w:type="paragraph" w:customStyle="1" w:styleId="Default">
    <w:name w:val="Default"/>
    <w:rsid w:val="00E44BB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docdata">
    <w:name w:val="docdata"/>
    <w:aliases w:val="docy,v5,1067,bqiaagaaeyqcaaagiaiaaaoqawaabbgdaaaaaaaaaaaaaaaaaaaaaaaaaaaaaaaaaaaaaaaaaaaaaaaaaaaaaaaaaaaaaaaaaaaaaaaaaaaaaaaaaaaaaaaaaaaaaaaaaaaaaaaaaaaaaaaaaaaaaaaaaaaaaaaaaaaaaaaaaaaaaaaaaaaaaaaaaaaaaaaaaaaaaaaaaaaaaaaaaaaaaaaaaaaaaaaaaaaaaaaa"/>
    <w:basedOn w:val="a0"/>
    <w:rsid w:val="00503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16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1160</Words>
  <Characters>6618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samoylenko@buxgipc.local</dc:creator>
  <cp:keywords/>
  <dc:description/>
  <cp:lastModifiedBy>Егоров Алексей Сергеевич</cp:lastModifiedBy>
  <cp:revision>14</cp:revision>
  <dcterms:created xsi:type="dcterms:W3CDTF">2024-11-06T12:18:00Z</dcterms:created>
  <dcterms:modified xsi:type="dcterms:W3CDTF">2024-11-11T11:24:00Z</dcterms:modified>
</cp:coreProperties>
</file>